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Konkurransegrunnlag, rammeavtale for konsulenttjenester</w:t>
      </w:r>
    </w:p>
    <w:p>
      <w:pPr>
        <w:pStyle w:val="Small"/>
      </w:pPr>
      <w:r>
        <w:t>UTKAST VERSJON 3  |  14. september 2026</w:t>
      </w:r>
    </w:p>
    <w:tbl>
      <w:tblPr>
        <w:tblW w:type="auto" w:w="0"/>
        <w:jc w:val="left"/>
        <w:tblLayout w:type="autofit"/>
        <w:tblLook w:firstColumn="1" w:firstRow="1" w:lastColumn="0" w:lastRow="0" w:noHBand="0" w:noVBand="1" w:val="04A0"/>
      </w:tblPr>
      <w:tblGrid>
        <w:gridCol w:w="9972"/>
      </w:tblGrid>
      <w:tr>
        <w:trPr>
          <w:cantSplit/>
        </w:trPr>
        <w:tc>
          <w:tcPr>
            <w:tcW w:type="dxa" w:w="9972"/>
            <w:shd w:fill="E9EFF5"/>
            <w:tcMar>
              <w:top w:w="100" w:type="dxa"/>
              <w:start w:w="120" w:type="dxa"/>
              <w:bottom w:w="100" w:type="dxa"/>
              <w:end w:w="120" w:type="dxa"/>
            </w:tcMar>
          </w:tcPr>
          <w:p>
            <w:r>
              <w:t>Utkast versjon 3. Saksnummer må fylles inn før kunngjøring. Frister, CPV kode og øvrige kunngjøringsopplysninger registreres og kvalitetssikres i Artifik.</w:t>
            </w:r>
          </w:p>
        </w:tc>
      </w:tr>
    </w:tbl>
    <w:p>
      <w:pPr>
        <w:spacing w:after="0"/>
      </w:pPr>
    </w:p>
    <w:p>
      <w:pPr>
        <w:pStyle w:val="Heading1"/>
      </w:pPr>
      <w:r>
        <w:t>1. Oppdragsgiver</w:t>
      </w:r>
    </w:p>
    <w:p>
      <w:r>
        <w:t>Kvitsøy kommune inviterer til åpen anbudskonkurranse om rammeavtale for konsulenttjenester.</w:t>
      </w:r>
    </w:p>
    <w:tbl>
      <w:tblPr>
        <w:tblStyle w:val="TableGrid"/>
        <w:tblW w:type="auto" w:w="0"/>
        <w:jc w:val="left"/>
        <w:tblLook w:firstColumn="1" w:firstRow="1" w:lastColumn="0" w:lastRow="0" w:noHBand="0" w:noVBand="1" w:val="04A0"/>
      </w:tblPr>
      <w:tblGrid>
        <w:gridCol w:w="4986"/>
        <w:gridCol w:w="4986"/>
      </w:tblGrid>
      <w:tr>
        <w:trPr>
          <w:tblHeader w:val="true"/>
          <w:cantSplit/>
        </w:trPr>
        <w:tc>
          <w:tcPr>
            <w:tcW w:type="dxa" w:w="2494"/>
            <w:shd w:fill="163A5F"/>
            <w:tcMar>
              <w:top w:w="90" w:type="dxa"/>
              <w:start w:w="90" w:type="dxa"/>
              <w:bottom w:w="90" w:type="dxa"/>
              <w:end w:w="90" w:type="dxa"/>
            </w:tcMar>
            <w:vAlign w:val="center"/>
          </w:tcPr>
          <w:p>
            <w:pPr>
              <w:spacing w:after="0"/>
            </w:pPr>
            <w:r>
              <w:rPr>
                <w:b/>
                <w:color w:val="FFFFFF"/>
                <w:sz w:val="18"/>
              </w:rPr>
              <w:t>Opplysning</w:t>
            </w:r>
          </w:p>
        </w:tc>
        <w:tc>
          <w:tcPr>
            <w:tcW w:type="dxa" w:w="6803"/>
            <w:shd w:fill="163A5F"/>
            <w:tcMar>
              <w:top w:w="90" w:type="dxa"/>
              <w:start w:w="90" w:type="dxa"/>
              <w:bottom w:w="90" w:type="dxa"/>
              <w:end w:w="90" w:type="dxa"/>
            </w:tcMar>
            <w:vAlign w:val="center"/>
          </w:tcPr>
          <w:p>
            <w:pPr>
              <w:spacing w:after="0"/>
            </w:pPr>
            <w:r>
              <w:rPr>
                <w:b/>
                <w:color w:val="FFFFFF"/>
                <w:sz w:val="18"/>
              </w:rPr>
              <w:t>Innhold</w:t>
            </w:r>
          </w:p>
        </w:tc>
      </w:tr>
      <w:tr>
        <w:trPr>
          <w:cantSplit/>
        </w:trPr>
        <w:tc>
          <w:tcPr>
            <w:tcW w:type="dxa" w:w="2494"/>
            <w:tcMar>
              <w:top w:w="90" w:type="dxa"/>
              <w:start w:w="90" w:type="dxa"/>
              <w:bottom w:w="90" w:type="dxa"/>
              <w:end w:w="90" w:type="dxa"/>
            </w:tcMar>
            <w:vAlign w:val="top"/>
          </w:tcPr>
          <w:p>
            <w:pPr>
              <w:spacing w:after="0"/>
            </w:pPr>
            <w:r>
              <w:rPr>
                <w:sz w:val="18"/>
              </w:rPr>
              <w:t>Oppdragsgiver</w:t>
            </w:r>
          </w:p>
        </w:tc>
        <w:tc>
          <w:tcPr>
            <w:tcW w:type="dxa" w:w="6803"/>
            <w:tcMar>
              <w:top w:w="90" w:type="dxa"/>
              <w:start w:w="90" w:type="dxa"/>
              <w:bottom w:w="90" w:type="dxa"/>
              <w:end w:w="90" w:type="dxa"/>
            </w:tcMar>
            <w:vAlign w:val="top"/>
          </w:tcPr>
          <w:p>
            <w:pPr>
              <w:spacing w:after="0"/>
            </w:pPr>
            <w:r>
              <w:rPr>
                <w:sz w:val="18"/>
              </w:rPr>
              <w:t>Kvitsøy kommune</w:t>
            </w:r>
          </w:p>
        </w:tc>
      </w:tr>
      <w:tr>
        <w:trPr>
          <w:cantSplit/>
        </w:trPr>
        <w:tc>
          <w:tcPr>
            <w:tcW w:type="dxa" w:w="2494"/>
            <w:tcMar>
              <w:top w:w="90" w:type="dxa"/>
              <w:start w:w="90" w:type="dxa"/>
              <w:bottom w:w="90" w:type="dxa"/>
              <w:end w:w="90" w:type="dxa"/>
            </w:tcMar>
            <w:vAlign w:val="top"/>
          </w:tcPr>
          <w:p>
            <w:pPr>
              <w:spacing w:after="0"/>
            </w:pPr>
            <w:r>
              <w:rPr>
                <w:sz w:val="18"/>
              </w:rPr>
              <w:t>Saksnummer</w:t>
            </w:r>
          </w:p>
        </w:tc>
        <w:tc>
          <w:tcPr>
            <w:tcW w:type="dxa" w:w="6803"/>
            <w:tcMar>
              <w:top w:w="90" w:type="dxa"/>
              <w:start w:w="90" w:type="dxa"/>
              <w:bottom w:w="90" w:type="dxa"/>
              <w:end w:w="90" w:type="dxa"/>
            </w:tcMar>
            <w:vAlign w:val="top"/>
          </w:tcPr>
          <w:p>
            <w:pPr>
              <w:spacing w:after="0"/>
            </w:pPr>
            <w:r>
              <w:rPr>
                <w:sz w:val="18"/>
              </w:rPr>
              <w:t>[fylles inn]</w:t>
            </w:r>
          </w:p>
        </w:tc>
      </w:tr>
      <w:tr>
        <w:trPr>
          <w:cantSplit/>
        </w:trPr>
        <w:tc>
          <w:tcPr>
            <w:tcW w:type="dxa" w:w="2494"/>
            <w:tcMar>
              <w:top w:w="90" w:type="dxa"/>
              <w:start w:w="90" w:type="dxa"/>
              <w:bottom w:w="90" w:type="dxa"/>
              <w:end w:w="90" w:type="dxa"/>
            </w:tcMar>
            <w:vAlign w:val="top"/>
          </w:tcPr>
          <w:p>
            <w:pPr>
              <w:spacing w:after="0"/>
            </w:pPr>
            <w:r>
              <w:rPr>
                <w:sz w:val="18"/>
              </w:rPr>
              <w:t>Kontaktperson</w:t>
            </w:r>
          </w:p>
        </w:tc>
        <w:tc>
          <w:tcPr>
            <w:tcW w:type="dxa" w:w="6803"/>
            <w:tcMar>
              <w:top w:w="90" w:type="dxa"/>
              <w:start w:w="90" w:type="dxa"/>
              <w:bottom w:w="90" w:type="dxa"/>
              <w:end w:w="90" w:type="dxa"/>
            </w:tcMar>
            <w:vAlign w:val="top"/>
          </w:tcPr>
          <w:p>
            <w:r>
              <w:t>Vegard Thise, næringssjef</w:t>
            </w:r>
          </w:p>
        </w:tc>
      </w:tr>
      <w:tr>
        <w:trPr>
          <w:cantSplit/>
        </w:trPr>
        <w:tc>
          <w:tcPr>
            <w:tcW w:type="dxa" w:w="2494"/>
            <w:tcMar>
              <w:top w:w="90" w:type="dxa"/>
              <w:start w:w="90" w:type="dxa"/>
              <w:bottom w:w="90" w:type="dxa"/>
              <w:end w:w="90" w:type="dxa"/>
            </w:tcMar>
            <w:vAlign w:val="top"/>
          </w:tcPr>
          <w:p>
            <w:pPr>
              <w:spacing w:after="0"/>
            </w:pPr>
            <w:r>
              <w:rPr>
                <w:sz w:val="18"/>
              </w:rPr>
              <w:t>KGV</w:t>
            </w:r>
          </w:p>
        </w:tc>
        <w:tc>
          <w:tcPr>
            <w:tcW w:type="dxa" w:w="6803"/>
            <w:tcMar>
              <w:top w:w="90" w:type="dxa"/>
              <w:start w:w="90" w:type="dxa"/>
              <w:bottom w:w="90" w:type="dxa"/>
              <w:end w:w="90" w:type="dxa"/>
            </w:tcMar>
            <w:vAlign w:val="top"/>
          </w:tcPr>
          <w:p>
            <w:r>
              <w:t>Artifik</w:t>
            </w:r>
          </w:p>
        </w:tc>
      </w:tr>
      <w:tr>
        <w:trPr>
          <w:cantSplit/>
        </w:trPr>
        <w:tc>
          <w:tcPr>
            <w:tcW w:type="dxa" w:w="2494"/>
            <w:tcMar>
              <w:top w:w="90" w:type="dxa"/>
              <w:start w:w="90" w:type="dxa"/>
              <w:bottom w:w="90" w:type="dxa"/>
              <w:end w:w="90" w:type="dxa"/>
            </w:tcMar>
            <w:vAlign w:val="top"/>
          </w:tcPr>
          <w:p>
            <w:pPr>
              <w:spacing w:after="0"/>
            </w:pPr>
            <w:r>
              <w:rPr>
                <w:sz w:val="18"/>
              </w:rPr>
              <w:t>Kommunikasjon</w:t>
            </w:r>
          </w:p>
        </w:tc>
        <w:tc>
          <w:tcPr>
            <w:tcW w:type="dxa" w:w="6803"/>
            <w:tcMar>
              <w:top w:w="90" w:type="dxa"/>
              <w:start w:w="90" w:type="dxa"/>
              <w:bottom w:w="90" w:type="dxa"/>
              <w:end w:w="90" w:type="dxa"/>
            </w:tcMar>
            <w:vAlign w:val="top"/>
          </w:tcPr>
          <w:p>
            <w:r>
              <w:t>All kommunikasjon i konkurransen skal skje i Artifik.</w:t>
            </w:r>
          </w:p>
        </w:tc>
      </w:tr>
    </w:tbl>
    <w:p>
      <w:pPr>
        <w:spacing w:after="0"/>
      </w:pPr>
    </w:p>
    <w:p>
      <w:pPr>
        <w:pStyle w:val="Heading1"/>
      </w:pPr>
      <w:r>
        <w:t>2. Anskaffelsens formål og omfang</w:t>
      </w:r>
    </w:p>
    <w:p>
      <w:r>
        <w:t>Kommunen har behov for løpende og prosjektbasert konsulentbistand innen flere fagområder. Rammeavtalen skal gi kommunen én samlet leveranse, ett fast kontaktpunkt som kan motta oppdrag, koble inn riktig kompetanse og følge opp leveransene samlet.</w:t>
      </w:r>
    </w:p>
    <w:p>
      <w:r>
        <w:t>Anskaffelsen er nærmere beskrevet i dokument 02 Oppdragsbeskrivelse og kravspesifikasjon. Dokumentet beskriver også reguleringsplan for Ydstebøhavn og reguleringsplan for Krågøy som to kjente oppdrag som forventes startet tidlig i avtaleperioden.</w:t>
      </w:r>
    </w:p>
    <w:p>
      <w:pPr>
        <w:pStyle w:val="Heading1"/>
      </w:pPr>
      <w:r>
        <w:t>3. Avtalestruktur, varighet og verdi</w:t>
      </w:r>
    </w:p>
    <w:p>
      <w:r>
        <w:t>Det inngås én rammeavtale med én hovedleverandør som kontraktspart. Hovedleverandøren kan benytte underleverandører og støtte seg på andre virksomheters kapasitet når vilkårene i anskaffelsesregelverket er oppfylt. Flere leverandører kan også delta i konkurransen i fellesskap etter FOA § 16-11. Avtalen har en grunnperiode på 2 år. Kvitsøy kommune har ensidig opsjon på forlengelse i 1 + 1 år, slik at maksimal samlet avtaleperiode er 4 år.</w:t>
      </w:r>
    </w:p>
    <w:p>
      <w:r>
        <w:t>Estimert samlet verdi for maksimal avtaleperiode er 11 000 000 kroner ekskl. mva. Maksimal samlet verdi er 14 000 000 kroner ekskl. mva. Estimert verdi er et anslag og innebærer ingen garanti for omsetning eller kjøpsplikt. Rammeavtalen kan ikke benyttes når maksimalverdien er nådd.</w:t>
      </w:r>
    </w:p>
    <w:p>
      <w:r>
        <w:t>Rammeavtalen er kommunens hovedkanal for tjenestene som omfattes. Kommunen kan gjennomføre separate konkurranser for større eller særskilte enkeltoppdrag når dette er saklig og hensiktsmessig, og kan kjøpe konkret bistand fra annen leverandør dersom rammeavtaleleverandøren ikke kan starte innen avtalt frist.</w:t>
      </w:r>
    </w:p>
    <w:p>
      <w:pPr>
        <w:pStyle w:val="Heading1"/>
      </w:pPr>
      <w:r>
        <w:t>4. Ikke oppdeling i delkontrakter</w:t>
      </w:r>
    </w:p>
    <w:p>
      <w:r>
        <w:t>Anskaffelsen deles ikke i delkontrakter. Kvitsøy kommune er en liten organisasjon med begrenset administrativ kapasitet og har behov for ett ansvarlig kontaktpunkt, samordnet oppfølging og kunnskapsoverføring på tvers av fagområder. Konkurransehensynet ivaretas ved at hovedleverandøren kan benytte underleverandører og støtte seg på andre virksomheters kapasitet. Det kreves ikke at all etterspurt kompetanse finnes internt hos hovedleverandøren.</w:t>
      </w:r>
    </w:p>
    <w:p>
      <w:pPr>
        <w:pStyle w:val="Heading2"/>
      </w:pPr>
      <w:r>
        <w:t>4.1 Hovedleverandør, underleverandører og støtte fra andre virksomheter</w:t>
      </w:r>
    </w:p>
    <w:p>
      <w:pPr/>
      <w:r>
        <w:t>Konkurransen bygger på en hovedleverandørmodell. Hovedleverandøren er kommunens kontraktspart og har samlet ansvar for koordinering, kvalitet, framdrift, økonomi og fakturering, også når underleverandører benyttes. Kjente underleverandører skal oppgis i tilbudet når dette etterspørres.</w:t>
      </w:r>
    </w:p>
    <w:p>
      <w:pPr/>
      <w:r>
        <w:t>Dersom leverandøren støtter seg på andre virksomheters kapasitet for å oppfylle kvalifikasjonskrav, skal dette angis i ESPD i Artifik. De aktuelle virksomhetene skal levere nødvendig ESPD og leverandøren skal dokumentere at den råder over de nødvendige ressursene, for eksempel ved forpliktelseserklæring. Dersom flere leverandører leverer felles tilbud, skal hver deltaker levere egen ESPD og fellesskapet skal utpeke én representant overfor kommunen.</w:t>
      </w:r>
    </w:p>
    <w:p>
      <w:pPr>
        <w:pStyle w:val="Heading1"/>
      </w:pPr>
      <w:r>
        <w:t>5. Konkurranseprosedyre og regelverk</w:t>
      </w:r>
    </w:p>
    <w:p>
      <w:r>
        <w:t>Anskaffelsen gjennomføres etter lov om offentlige anskaffelser og forskrift om offentlige anskaffelser del I og del III. Konkurransen gjennomføres som åpen anbudskonkurranse. Det er ikke adgang til å forhandle om tilbudene.</w:t>
      </w:r>
    </w:p>
    <w:p>
      <w:pPr>
        <w:pStyle w:val="Heading1"/>
      </w:pPr>
      <w:r>
        <w:t>6. Klima og miljø</w:t>
      </w:r>
    </w:p>
    <w:p>
      <w:r>
        <w:t>Kvitsøy kommune har vurdert anskaffelsens art etter anskaffelsesloven § 5b. Anskaffelsen gjelder i hovedsak kunnskapsbaserte konsulent og rådgivningstjenester, der hovedytelsen er faglig arbeidsinnsats og leveransene i hovedsak utarbeides som kontorbasert arbeid og digitale leveranser. Det kan inngå møter, befaringer og stedlige undersøkelser, men anskaffelsen omfatter ikke byggearbeider, materialleveranser eller transport som hovedytelse.</w:t>
      </w:r>
    </w:p>
    <w:p>
      <w:r>
        <w:t>DFØs veiledning omtaler konsulent og analysetjenester, inkludert rådgivende bygg og anleggstjenester, som tjenester der klimaavtrykket og miljøbelastningen fra selve rådgivningstjenesten etter sin art kan vurderes som uvesentlig. Kvitsøy kommune vurderer anskaffelsen som typisk for denne tjenestekategorien. Unntaket i anskaffelsesloven § 5b tredje ledd benyttes derfor. Klima og miljø vektes ikke som eget tildelingskriterium.</w:t>
      </w:r>
    </w:p>
    <w:p>
      <w:pPr>
        <w:pStyle w:val="Heading1"/>
      </w:pPr>
      <w:r>
        <w:t>7. Tentativ fremdrift</w:t>
      </w:r>
    </w:p>
    <w:tbl>
      <w:tblPr>
        <w:tblStyle w:val="TableGrid"/>
        <w:tblW w:type="auto" w:w="0"/>
        <w:jc w:val="left"/>
        <w:tblLook w:firstColumn="1" w:firstRow="1" w:lastColumn="0" w:lastRow="0" w:noHBand="0" w:noVBand="1" w:val="04A0"/>
      </w:tblPr>
      <w:tblGrid>
        <w:gridCol w:w="4986"/>
        <w:gridCol w:w="4986"/>
      </w:tblGrid>
      <w:tr>
        <w:trPr>
          <w:tblHeader w:val="true"/>
          <w:cantSplit/>
        </w:trPr>
        <w:tc>
          <w:tcPr>
            <w:tcW w:type="dxa" w:w="3969"/>
            <w:shd w:fill="163A5F"/>
            <w:tcMar>
              <w:top w:w="90" w:type="dxa"/>
              <w:start w:w="90" w:type="dxa"/>
              <w:bottom w:w="90" w:type="dxa"/>
              <w:end w:w="90" w:type="dxa"/>
            </w:tcMar>
            <w:vAlign w:val="center"/>
          </w:tcPr>
          <w:p>
            <w:pPr>
              <w:spacing w:after="0"/>
            </w:pPr>
            <w:r>
              <w:rPr>
                <w:b/>
                <w:color w:val="FFFFFF"/>
                <w:sz w:val="18"/>
              </w:rPr>
              <w:t>Aktivitet</w:t>
            </w:r>
          </w:p>
        </w:tc>
        <w:tc>
          <w:tcPr>
            <w:tcW w:type="dxa" w:w="5329"/>
            <w:shd w:fill="163A5F"/>
            <w:tcMar>
              <w:top w:w="90" w:type="dxa"/>
              <w:start w:w="90" w:type="dxa"/>
              <w:bottom w:w="90" w:type="dxa"/>
              <w:end w:w="90" w:type="dxa"/>
            </w:tcMar>
            <w:vAlign w:val="center"/>
          </w:tcPr>
          <w:p>
            <w:pPr>
              <w:spacing w:after="0"/>
            </w:pPr>
            <w:r>
              <w:rPr>
                <w:b/>
                <w:color w:val="FFFFFF"/>
                <w:sz w:val="18"/>
              </w:rPr>
              <w:t>Tidspunkt</w:t>
            </w:r>
          </w:p>
        </w:tc>
      </w:tr>
      <w:tr>
        <w:trPr>
          <w:cantSplit/>
        </w:trPr>
        <w:tc>
          <w:tcPr>
            <w:tcW w:type="dxa" w:w="3969"/>
            <w:tcMar>
              <w:top w:w="90" w:type="dxa"/>
              <w:start w:w="90" w:type="dxa"/>
              <w:bottom w:w="90" w:type="dxa"/>
              <w:end w:w="90" w:type="dxa"/>
            </w:tcMar>
            <w:vAlign w:val="top"/>
          </w:tcPr>
          <w:p>
            <w:r>
              <w:t>Kunngjøring</w:t>
            </w:r>
          </w:p>
        </w:tc>
        <w:tc>
          <w:tcPr>
            <w:tcW w:type="dxa" w:w="5329"/>
            <w:tcMar>
              <w:top w:w="90" w:type="dxa"/>
              <w:start w:w="90" w:type="dxa"/>
              <w:bottom w:w="90" w:type="dxa"/>
              <w:end w:w="90" w:type="dxa"/>
            </w:tcMar>
            <w:vAlign w:val="top"/>
          </w:tcPr>
          <w:p>
            <w:r>
              <w:t>Planlagt i uke 39. Datoen i Artifik er styrende.</w:t>
            </w:r>
          </w:p>
        </w:tc>
      </w:tr>
      <w:tr>
        <w:trPr>
          <w:cantSplit/>
        </w:trPr>
        <w:tc>
          <w:tcPr>
            <w:tcW w:type="dxa" w:w="3969"/>
            <w:tcMar>
              <w:top w:w="90" w:type="dxa"/>
              <w:start w:w="90" w:type="dxa"/>
              <w:bottom w:w="90" w:type="dxa"/>
              <w:end w:w="90" w:type="dxa"/>
            </w:tcMar>
            <w:vAlign w:val="top"/>
          </w:tcPr>
          <w:p>
            <w:r>
              <w:t>Frist for spørsmål</w:t>
            </w:r>
          </w:p>
        </w:tc>
        <w:tc>
          <w:tcPr>
            <w:tcW w:type="dxa" w:w="5329"/>
            <w:tcMar>
              <w:top w:w="90" w:type="dxa"/>
              <w:start w:w="90" w:type="dxa"/>
              <w:bottom w:w="90" w:type="dxa"/>
              <w:end w:w="90" w:type="dxa"/>
            </w:tcMar>
            <w:vAlign w:val="top"/>
          </w:tcPr>
          <w:p>
            <w:r>
              <w:t>Se Artifik.</w:t>
            </w:r>
          </w:p>
        </w:tc>
      </w:tr>
      <w:tr>
        <w:trPr>
          <w:cantSplit/>
        </w:trPr>
        <w:tc>
          <w:tcPr>
            <w:tcW w:type="dxa" w:w="3969"/>
            <w:tcMar>
              <w:top w:w="90" w:type="dxa"/>
              <w:start w:w="90" w:type="dxa"/>
              <w:bottom w:w="90" w:type="dxa"/>
              <w:end w:w="90" w:type="dxa"/>
            </w:tcMar>
            <w:vAlign w:val="top"/>
          </w:tcPr>
          <w:p>
            <w:r>
              <w:t>Tilbudsfrist</w:t>
            </w:r>
          </w:p>
        </w:tc>
        <w:tc>
          <w:tcPr>
            <w:tcW w:type="dxa" w:w="5329"/>
            <w:tcMar>
              <w:top w:w="90" w:type="dxa"/>
              <w:start w:w="90" w:type="dxa"/>
              <w:bottom w:w="90" w:type="dxa"/>
              <w:end w:w="90" w:type="dxa"/>
            </w:tcMar>
            <w:vAlign w:val="top"/>
          </w:tcPr>
          <w:p>
            <w:r>
              <w:t>Se Artifik. Fristen skal være minst 30 dager regnet fra den dagen kunngjøringen sendes til TED.</w:t>
            </w:r>
          </w:p>
        </w:tc>
      </w:tr>
      <w:tr>
        <w:trPr>
          <w:cantSplit/>
        </w:trPr>
        <w:tc>
          <w:tcPr>
            <w:tcW w:type="dxa" w:w="3969"/>
            <w:tcMar>
              <w:top w:w="90" w:type="dxa"/>
              <w:start w:w="90" w:type="dxa"/>
              <w:bottom w:w="90" w:type="dxa"/>
              <w:end w:w="90" w:type="dxa"/>
            </w:tcMar>
            <w:vAlign w:val="top"/>
          </w:tcPr>
          <w:p>
            <w:r>
              <w:t>Evaluering og referansesamtaler</w:t>
            </w:r>
          </w:p>
        </w:tc>
        <w:tc>
          <w:tcPr>
            <w:tcW w:type="dxa" w:w="5329"/>
            <w:tcMar>
              <w:top w:w="90" w:type="dxa"/>
              <w:start w:w="90" w:type="dxa"/>
              <w:bottom w:w="90" w:type="dxa"/>
              <w:end w:w="90" w:type="dxa"/>
            </w:tcMar>
            <w:vAlign w:val="top"/>
          </w:tcPr>
          <w:p>
            <w:r>
              <w:t>Snarest etter tilbudsfristen.</w:t>
            </w:r>
          </w:p>
        </w:tc>
      </w:tr>
      <w:tr>
        <w:trPr>
          <w:cantSplit/>
        </w:trPr>
        <w:tc>
          <w:tcPr>
            <w:tcW w:type="dxa" w:w="3969"/>
            <w:tcMar>
              <w:top w:w="90" w:type="dxa"/>
              <w:start w:w="90" w:type="dxa"/>
              <w:bottom w:w="90" w:type="dxa"/>
              <w:end w:w="90" w:type="dxa"/>
            </w:tcMar>
            <w:vAlign w:val="top"/>
          </w:tcPr>
          <w:p>
            <w:r>
              <w:t>Meddelelse om tildeling</w:t>
            </w:r>
          </w:p>
        </w:tc>
        <w:tc>
          <w:tcPr>
            <w:tcW w:type="dxa" w:w="5329"/>
            <w:tcMar>
              <w:top w:w="90" w:type="dxa"/>
              <w:start w:w="90" w:type="dxa"/>
              <w:bottom w:w="90" w:type="dxa"/>
              <w:end w:w="90" w:type="dxa"/>
            </w:tcMar>
            <w:vAlign w:val="top"/>
          </w:tcPr>
          <w:p>
            <w:r>
              <w:t>Planlagt så snart evalueringen er ferdigstilt.</w:t>
            </w:r>
          </w:p>
        </w:tc>
      </w:tr>
      <w:tr>
        <w:trPr>
          <w:cantSplit/>
        </w:trPr>
        <w:tc>
          <w:tcPr>
            <w:tcW w:type="dxa" w:w="3969"/>
            <w:tcMar>
              <w:top w:w="90" w:type="dxa"/>
              <w:start w:w="90" w:type="dxa"/>
              <w:bottom w:w="90" w:type="dxa"/>
              <w:end w:w="90" w:type="dxa"/>
            </w:tcMar>
            <w:vAlign w:val="top"/>
          </w:tcPr>
          <w:p>
            <w:r>
              <w:t>Karensperiode</w:t>
            </w:r>
          </w:p>
        </w:tc>
        <w:tc>
          <w:tcPr>
            <w:tcW w:type="dxa" w:w="5329"/>
            <w:tcMar>
              <w:top w:w="90" w:type="dxa"/>
              <w:start w:w="90" w:type="dxa"/>
              <w:bottom w:w="90" w:type="dxa"/>
              <w:end w:w="90" w:type="dxa"/>
            </w:tcMar>
            <w:vAlign w:val="top"/>
          </w:tcPr>
          <w:p>
            <w:r>
              <w:t>Minst 10 dager regnet fra dagen etter at tildelingsmeddelelsen er sendt.</w:t>
            </w:r>
          </w:p>
        </w:tc>
      </w:tr>
      <w:tr>
        <w:trPr>
          <w:cantSplit/>
        </w:trPr>
        <w:tc>
          <w:tcPr>
            <w:tcW w:type="dxa" w:w="3969"/>
            <w:tcMar>
              <w:top w:w="90" w:type="dxa"/>
              <w:start w:w="90" w:type="dxa"/>
              <w:bottom w:w="90" w:type="dxa"/>
              <w:end w:w="90" w:type="dxa"/>
            </w:tcMar>
            <w:vAlign w:val="top"/>
          </w:tcPr>
          <w:p>
            <w:r>
              <w:t>Planlagt kontraktsstart</w:t>
            </w:r>
          </w:p>
        </w:tc>
        <w:tc>
          <w:tcPr>
            <w:tcW w:type="dxa" w:w="5329"/>
            <w:tcMar>
              <w:top w:w="90" w:type="dxa"/>
              <w:start w:w="90" w:type="dxa"/>
              <w:bottom w:w="90" w:type="dxa"/>
              <w:end w:w="90" w:type="dxa"/>
            </w:tcMar>
            <w:vAlign w:val="top"/>
          </w:tcPr>
          <w:p>
            <w:r>
              <w:t>Så snart karensperioden er utløpt og kontrakten er signert.</w:t>
            </w:r>
          </w:p>
        </w:tc>
      </w:tr>
    </w:tbl>
    <w:p>
      <w:pPr>
        <w:spacing w:after="0"/>
      </w:pPr>
    </w:p>
    <w:p>
      <w:pPr>
        <w:pStyle w:val="Heading1"/>
      </w:pPr>
      <w:r>
        <w:t>8. Kvalifikasjonskrav</w:t>
      </w:r>
    </w:p>
    <w:p>
      <w:r>
        <w:t>Tilbyder skal besvare ESPD direkte i Artifik. ESPD er et foreløpig bevis for at kvalifikasjonskravene er oppfylt og at det ikke foreligger avvisningsgrunner. Oppdragsgiver kan kreve underliggende dokumentasjon fra leverandøren som innstilles til kontrakt, og ellers når regelverket åpner for det.</w:t>
      </w:r>
    </w:p>
    <w:tbl>
      <w:tblPr>
        <w:tblStyle w:val="TableGrid"/>
        <w:tblW w:type="auto" w:w="0"/>
        <w:jc w:val="left"/>
        <w:tblLook w:firstColumn="1" w:firstRow="1" w:lastColumn="0" w:lastRow="0" w:noHBand="0" w:noVBand="1" w:val="04A0"/>
      </w:tblPr>
      <w:tblGrid>
        <w:gridCol w:w="4986"/>
        <w:gridCol w:w="4986"/>
      </w:tblGrid>
      <w:tr>
        <w:trPr>
          <w:tblHeader w:val="true"/>
          <w:cantSplit/>
        </w:trPr>
        <w:tc>
          <w:tcPr>
            <w:tcW w:type="dxa" w:w="4649"/>
            <w:shd w:fill="163A5F"/>
            <w:tcMar>
              <w:top w:w="90" w:type="dxa"/>
              <w:start w:w="90" w:type="dxa"/>
              <w:bottom w:w="90" w:type="dxa"/>
              <w:end w:w="90" w:type="dxa"/>
            </w:tcMar>
            <w:vAlign w:val="center"/>
          </w:tcPr>
          <w:p>
            <w:pPr>
              <w:spacing w:after="0"/>
            </w:pPr>
            <w:r>
              <w:rPr>
                <w:b/>
                <w:color w:val="FFFFFF"/>
                <w:sz w:val="17"/>
              </w:rPr>
              <w:t>Krav</w:t>
            </w:r>
          </w:p>
        </w:tc>
        <w:tc>
          <w:tcPr>
            <w:tcW w:type="dxa" w:w="4649"/>
            <w:shd w:fill="163A5F"/>
            <w:tcMar>
              <w:top w:w="90" w:type="dxa"/>
              <w:start w:w="90" w:type="dxa"/>
              <w:bottom w:w="90" w:type="dxa"/>
              <w:end w:w="90" w:type="dxa"/>
            </w:tcMar>
            <w:vAlign w:val="center"/>
          </w:tcPr>
          <w:p>
            <w:pPr>
              <w:spacing w:after="0"/>
            </w:pPr>
            <w:r>
              <w:rPr>
                <w:b/>
                <w:color w:val="FFFFFF"/>
                <w:sz w:val="17"/>
              </w:rPr>
              <w:t>Dokumentasjon</w:t>
            </w:r>
          </w:p>
        </w:tc>
      </w:tr>
      <w:tr>
        <w:trPr>
          <w:cantSplit/>
        </w:trPr>
        <w:tc>
          <w:tcPr>
            <w:tcW w:type="dxa" w:w="4649"/>
            <w:tcMar>
              <w:top w:w="90" w:type="dxa"/>
              <w:start w:w="90" w:type="dxa"/>
              <w:bottom w:w="90" w:type="dxa"/>
              <w:end w:w="90" w:type="dxa"/>
            </w:tcMar>
            <w:vAlign w:val="top"/>
          </w:tcPr>
          <w:p>
            <w:pPr>
              <w:spacing w:after="0"/>
            </w:pPr>
            <w:r>
              <w:rPr>
                <w:sz w:val="17"/>
              </w:rPr>
              <w:t>Leverandøren skal være registrert i relevant foretaksregister eller faglig register i etableringslandet.</w:t>
            </w:r>
          </w:p>
        </w:tc>
        <w:tc>
          <w:tcPr>
            <w:tcW w:type="dxa" w:w="4649"/>
            <w:tcMar>
              <w:top w:w="90" w:type="dxa"/>
              <w:start w:w="90" w:type="dxa"/>
              <w:bottom w:w="90" w:type="dxa"/>
              <w:end w:w="90" w:type="dxa"/>
            </w:tcMar>
            <w:vAlign w:val="top"/>
          </w:tcPr>
          <w:p>
            <w:pPr>
              <w:spacing w:after="0"/>
            </w:pPr>
            <w:r>
              <w:rPr>
                <w:sz w:val="17"/>
              </w:rPr>
              <w:t>ESPD. Firmaattest eller tilsvarende dokumentasjon på forespørsel.</w:t>
            </w:r>
          </w:p>
        </w:tc>
      </w:tr>
      <w:tr>
        <w:trPr>
          <w:cantSplit/>
        </w:trPr>
        <w:tc>
          <w:tcPr>
            <w:tcW w:type="dxa" w:w="4649"/>
            <w:tcMar>
              <w:top w:w="90" w:type="dxa"/>
              <w:start w:w="90" w:type="dxa"/>
              <w:bottom w:w="90" w:type="dxa"/>
              <w:end w:w="90" w:type="dxa"/>
            </w:tcMar>
            <w:vAlign w:val="top"/>
          </w:tcPr>
          <w:p>
            <w:pPr>
              <w:spacing w:after="0"/>
            </w:pPr>
            <w:r>
              <w:rPr>
                <w:sz w:val="17"/>
              </w:rPr>
              <w:t>Leverandøren skal ha tilstrekkelig økonomisk og finansiell kapasitet til å gjennomføre kontrakten.</w:t>
            </w:r>
          </w:p>
        </w:tc>
        <w:tc>
          <w:tcPr>
            <w:tcW w:type="dxa" w:w="4649"/>
            <w:tcMar>
              <w:top w:w="90" w:type="dxa"/>
              <w:start w:w="90" w:type="dxa"/>
              <w:bottom w:w="90" w:type="dxa"/>
              <w:end w:w="90" w:type="dxa"/>
            </w:tcMar>
            <w:vAlign w:val="top"/>
          </w:tcPr>
          <w:p>
            <w:pPr>
              <w:spacing w:after="0"/>
            </w:pPr>
            <w:r>
              <w:rPr>
                <w:sz w:val="17"/>
              </w:rPr>
              <w:t>ESPD. Kredittvurdering, årsregnskap eller annen egnet dokumentasjon kan kreves på forespørsel.</w:t>
            </w:r>
          </w:p>
        </w:tc>
      </w:tr>
      <w:tr>
        <w:trPr>
          <w:cantSplit/>
        </w:trPr>
        <w:tc>
          <w:tcPr>
            <w:tcW w:type="dxa" w:w="4649"/>
            <w:tcMar>
              <w:top w:w="90" w:type="dxa"/>
              <w:start w:w="90" w:type="dxa"/>
              <w:bottom w:w="90" w:type="dxa"/>
              <w:end w:w="90" w:type="dxa"/>
            </w:tcMar>
            <w:vAlign w:val="top"/>
          </w:tcPr>
          <w:p>
            <w:r>
              <w:t>Leverandøren skal ha erfaring fra sammenlignbare oppdrag. Med sammenlignbare oppdrag menes levering og koordinering av rådgivnings og konsulenttjenester innen ett eller flere av fagområdene som omfattes av rammeavtalen.</w:t>
            </w:r>
          </w:p>
        </w:tc>
        <w:tc>
          <w:tcPr>
            <w:tcW w:type="dxa" w:w="4649"/>
            <w:tcMar>
              <w:top w:w="90" w:type="dxa"/>
              <w:start w:w="90" w:type="dxa"/>
              <w:bottom w:w="90" w:type="dxa"/>
              <w:end w:w="90" w:type="dxa"/>
            </w:tcMar>
            <w:vAlign w:val="top"/>
          </w:tcPr>
          <w:p>
            <w:r>
              <w:t>Kort oversikt over inntil tre av de viktigste relevante oppdragene gjennomført de siste tre årene, med mottaker, periode, omfang og kort beskrivelse. Eldre relevante oppdrag kan tas i betraktning dersom dette er nødvendig for å sikre tilstrekkelig konkurranse.</w:t>
            </w:r>
          </w:p>
        </w:tc>
      </w:tr>
    </w:tbl>
    <w:p>
      <w:pPr>
        <w:spacing w:after="0"/>
      </w:pPr>
    </w:p>
    <w:p>
      <w:r>
        <w:t>Leverandøren kan støtte seg på kapasiteten til andre virksomheter for å oppfylle relevante kvalifikasjonskrav. Dette skal angis i Artifik, og virksomhetene det støttes på skal levere nødvendig ESPD. Leverandøren skal dokumentere at den råder over de nødvendige ressursene. Ved felles tilbud skal alle deltakere levere egen ESPD.</w:t>
      </w:r>
    </w:p>
    <w:p>
      <w:pPr>
        <w:pStyle w:val="Heading1"/>
      </w:pPr>
      <w:r>
        <w:t>9. Tilbudets innhold</w:t>
      </w:r>
    </w:p>
    <w:tbl>
      <w:tblPr>
        <w:tblStyle w:val="TableGrid"/>
        <w:tblW w:type="auto" w:w="0"/>
        <w:jc w:val="left"/>
        <w:tblLook w:firstColumn="1" w:firstRow="1" w:lastColumn="0" w:lastRow="0" w:noHBand="0" w:noVBand="1" w:val="04A0"/>
      </w:tblPr>
      <w:tblGrid>
        <w:gridCol w:w="4986"/>
        <w:gridCol w:w="4986"/>
      </w:tblGrid>
      <w:tr>
        <w:trPr>
          <w:tblHeader w:val="true"/>
          <w:cantSplit/>
        </w:trPr>
        <w:tc>
          <w:tcPr>
            <w:tcW w:type="dxa" w:w="2835"/>
            <w:shd w:fill="163A5F"/>
            <w:tcMar>
              <w:top w:w="90" w:type="dxa"/>
              <w:start w:w="90" w:type="dxa"/>
              <w:bottom w:w="90" w:type="dxa"/>
              <w:end w:w="90" w:type="dxa"/>
            </w:tcMar>
            <w:vAlign w:val="center"/>
          </w:tcPr>
          <w:p>
            <w:pPr>
              <w:spacing w:after="0"/>
            </w:pPr>
            <w:r>
              <w:rPr>
                <w:b/>
                <w:color w:val="FFFFFF"/>
                <w:sz w:val="17"/>
              </w:rPr>
              <w:t>Dokument</w:t>
            </w:r>
          </w:p>
        </w:tc>
        <w:tc>
          <w:tcPr>
            <w:tcW w:type="dxa" w:w="6463"/>
            <w:shd w:fill="163A5F"/>
            <w:tcMar>
              <w:top w:w="90" w:type="dxa"/>
              <w:start w:w="90" w:type="dxa"/>
              <w:bottom w:w="90" w:type="dxa"/>
              <w:end w:w="90" w:type="dxa"/>
            </w:tcMar>
            <w:vAlign w:val="center"/>
          </w:tcPr>
          <w:p>
            <w:pPr>
              <w:spacing w:after="0"/>
            </w:pPr>
            <w:r>
              <w:rPr>
                <w:b/>
                <w:color w:val="FFFFFF"/>
                <w:sz w:val="17"/>
              </w:rPr>
              <w:t>Krav</w:t>
            </w:r>
          </w:p>
        </w:tc>
      </w:tr>
      <w:tr>
        <w:trPr>
          <w:cantSplit/>
        </w:trPr>
        <w:tc>
          <w:tcPr>
            <w:tcW w:type="dxa" w:w="2835"/>
            <w:tcMar>
              <w:top w:w="90" w:type="dxa"/>
              <w:start w:w="90" w:type="dxa"/>
              <w:bottom w:w="90" w:type="dxa"/>
              <w:end w:w="90" w:type="dxa"/>
            </w:tcMar>
            <w:vAlign w:val="top"/>
          </w:tcPr>
          <w:p>
            <w:pPr>
              <w:spacing w:after="0"/>
            </w:pPr>
            <w:r>
              <w:rPr>
                <w:sz w:val="17"/>
              </w:rPr>
              <w:t>Tilbudsskjema</w:t>
            </w:r>
          </w:p>
        </w:tc>
        <w:tc>
          <w:tcPr>
            <w:tcW w:type="dxa" w:w="6463"/>
            <w:tcMar>
              <w:top w:w="90" w:type="dxa"/>
              <w:start w:w="90" w:type="dxa"/>
              <w:bottom w:w="90" w:type="dxa"/>
              <w:end w:w="90" w:type="dxa"/>
            </w:tcMar>
            <w:vAlign w:val="top"/>
          </w:tcPr>
          <w:p>
            <w:pPr>
              <w:spacing w:after="0"/>
            </w:pPr>
            <w:r>
              <w:rPr>
                <w:sz w:val="17"/>
              </w:rPr>
              <w:t>Utfylt dokument 05.</w:t>
            </w:r>
          </w:p>
        </w:tc>
      </w:tr>
      <w:tr>
        <w:trPr>
          <w:cantSplit/>
        </w:trPr>
        <w:tc>
          <w:tcPr>
            <w:tcW w:type="dxa" w:w="2835"/>
            <w:tcMar>
              <w:top w:w="90" w:type="dxa"/>
              <w:start w:w="90" w:type="dxa"/>
              <w:bottom w:w="90" w:type="dxa"/>
              <w:end w:w="90" w:type="dxa"/>
            </w:tcMar>
            <w:vAlign w:val="top"/>
          </w:tcPr>
          <w:p>
            <w:pPr>
              <w:spacing w:after="0"/>
            </w:pPr>
            <w:r>
              <w:rPr>
                <w:sz w:val="17"/>
              </w:rPr>
              <w:t>Prisskjema</w:t>
            </w:r>
          </w:p>
        </w:tc>
        <w:tc>
          <w:tcPr>
            <w:tcW w:type="dxa" w:w="6463"/>
            <w:tcMar>
              <w:top w:w="90" w:type="dxa"/>
              <w:start w:w="90" w:type="dxa"/>
              <w:bottom w:w="90" w:type="dxa"/>
              <w:end w:w="90" w:type="dxa"/>
            </w:tcMar>
            <w:vAlign w:val="top"/>
          </w:tcPr>
          <w:p>
            <w:pPr>
              <w:spacing w:after="0"/>
            </w:pPr>
            <w:r>
              <w:rPr>
                <w:sz w:val="17"/>
              </w:rPr>
              <w:t>Utfylt dokument 03.</w:t>
            </w:r>
          </w:p>
        </w:tc>
      </w:tr>
      <w:tr>
        <w:trPr>
          <w:cantSplit/>
        </w:trPr>
        <w:tc>
          <w:tcPr>
            <w:tcW w:type="dxa" w:w="2835"/>
            <w:tcMar>
              <w:top w:w="90" w:type="dxa"/>
              <w:start w:w="90" w:type="dxa"/>
              <w:bottom w:w="90" w:type="dxa"/>
              <w:end w:w="90" w:type="dxa"/>
            </w:tcMar>
            <w:vAlign w:val="top"/>
          </w:tcPr>
          <w:p>
            <w:r>
              <w:t>Organisering, bemanning og gjennomføring</w:t>
            </w:r>
          </w:p>
        </w:tc>
        <w:tc>
          <w:tcPr>
            <w:tcW w:type="dxa" w:w="6463"/>
            <w:tcMar>
              <w:top w:w="90" w:type="dxa"/>
              <w:start w:w="90" w:type="dxa"/>
              <w:bottom w:w="90" w:type="dxa"/>
              <w:end w:w="90" w:type="dxa"/>
            </w:tcMar>
            <w:vAlign w:val="top"/>
          </w:tcPr>
          <w:p>
            <w:r>
              <w:t>Besvarelse på maksimalt 4 A4 sider, jf. punkt 11.2.</w:t>
            </w:r>
          </w:p>
        </w:tc>
      </w:tr>
      <w:tr>
        <w:trPr>
          <w:cantSplit/>
        </w:trPr>
        <w:tc>
          <w:tcPr>
            <w:tcW w:type="dxa" w:w="2835"/>
            <w:tcMar>
              <w:top w:w="90" w:type="dxa"/>
              <w:start w:w="90" w:type="dxa"/>
              <w:bottom w:w="90" w:type="dxa"/>
              <w:end w:w="90" w:type="dxa"/>
            </w:tcMar>
            <w:vAlign w:val="top"/>
          </w:tcPr>
          <w:p>
            <w:r>
              <w:t>Tilgang til kompetanse og samtidige oppdrag</w:t>
            </w:r>
          </w:p>
        </w:tc>
        <w:tc>
          <w:tcPr>
            <w:tcW w:type="dxa" w:w="6463"/>
            <w:tcMar>
              <w:top w:w="90" w:type="dxa"/>
              <w:start w:w="90" w:type="dxa"/>
              <w:bottom w:w="90" w:type="dxa"/>
              <w:end w:w="90" w:type="dxa"/>
            </w:tcMar>
            <w:vAlign w:val="top"/>
          </w:tcPr>
          <w:p>
            <w:r>
              <w:t>Besvarelse på maksimalt 2 A4 sider, jf. punkt 11.3.</w:t>
            </w:r>
          </w:p>
        </w:tc>
      </w:tr>
      <w:tr>
        <w:trPr>
          <w:cantSplit/>
        </w:trPr>
        <w:tc>
          <w:tcPr>
            <w:tcW w:type="dxa" w:w="2835"/>
            <w:tcMar>
              <w:top w:w="90" w:type="dxa"/>
              <w:start w:w="90" w:type="dxa"/>
              <w:bottom w:w="90" w:type="dxa"/>
              <w:end w:w="90" w:type="dxa"/>
            </w:tcMar>
            <w:vAlign w:val="top"/>
          </w:tcPr>
          <w:p>
            <w:r>
              <w:t>Avtaleansvarlig og referanser</w:t>
            </w:r>
          </w:p>
        </w:tc>
        <w:tc>
          <w:tcPr>
            <w:tcW w:type="dxa" w:w="6463"/>
            <w:tcMar>
              <w:top w:w="90" w:type="dxa"/>
              <w:start w:w="90" w:type="dxa"/>
              <w:bottom w:w="90" w:type="dxa"/>
              <w:end w:w="90" w:type="dxa"/>
            </w:tcMar>
            <w:vAlign w:val="top"/>
          </w:tcPr>
          <w:p>
            <w:r>
              <w:t>Navn og CV på maksimalt 2 A4 sider, navngitt stedfortreder og to kommunale rammeavtalereferanser, jf. punkt 11.4.</w:t>
            </w:r>
          </w:p>
        </w:tc>
      </w:tr>
      <w:tr>
        <w:trPr>
          <w:cantSplit/>
        </w:trPr>
        <w:tc>
          <w:tcPr>
            <w:tcW w:type="dxa" w:w="2835"/>
            <w:tcMar>
              <w:top w:w="90" w:type="dxa"/>
              <w:start w:w="90" w:type="dxa"/>
              <w:bottom w:w="90" w:type="dxa"/>
              <w:end w:w="90" w:type="dxa"/>
            </w:tcMar>
            <w:vAlign w:val="top"/>
          </w:tcPr>
          <w:p>
            <w:pPr>
              <w:spacing w:after="0"/>
            </w:pPr>
            <w:r>
              <w:rPr>
                <w:sz w:val="17"/>
              </w:rPr>
              <w:t>Kvalifikasjoner</w:t>
            </w:r>
          </w:p>
        </w:tc>
        <w:tc>
          <w:tcPr>
            <w:tcW w:type="dxa" w:w="6463"/>
            <w:tcMar>
              <w:top w:w="90" w:type="dxa"/>
              <w:start w:w="90" w:type="dxa"/>
              <w:bottom w:w="90" w:type="dxa"/>
              <w:end w:w="90" w:type="dxa"/>
            </w:tcMar>
            <w:vAlign w:val="top"/>
          </w:tcPr>
          <w:p>
            <w:pPr>
              <w:spacing w:after="0"/>
            </w:pPr>
            <w:r>
              <w:rPr>
                <w:sz w:val="17"/>
              </w:rPr>
              <w:t>Opplysninger og dokumentasjon som kreves i KGV og ESPD.</w:t>
            </w:r>
          </w:p>
        </w:tc>
      </w:tr>
      <w:tr>
        <w:trPr>
          <w:cantSplit/>
        </w:trPr>
        <w:tc>
          <w:tcPr>
            <w:tcW w:type="dxa" w:w="2835"/>
            <w:tcMar>
              <w:top w:w="90" w:type="dxa"/>
              <w:start w:w="90" w:type="dxa"/>
              <w:bottom w:w="90" w:type="dxa"/>
              <w:end w:w="90" w:type="dxa"/>
            </w:tcMar>
            <w:vAlign w:val="top"/>
          </w:tcPr>
          <w:p>
            <w:pPr>
              <w:spacing w:after="0"/>
            </w:pPr>
            <w:r>
              <w:rPr>
                <w:sz w:val="17"/>
              </w:rPr>
              <w:t>Forbehold og avvik</w:t>
            </w:r>
          </w:p>
        </w:tc>
        <w:tc>
          <w:tcPr>
            <w:tcW w:type="dxa" w:w="6463"/>
            <w:tcMar>
              <w:top w:w="90" w:type="dxa"/>
              <w:start w:w="90" w:type="dxa"/>
              <w:bottom w:w="90" w:type="dxa"/>
              <w:end w:w="90" w:type="dxa"/>
            </w:tcMar>
            <w:vAlign w:val="top"/>
          </w:tcPr>
          <w:p>
            <w:pPr>
              <w:spacing w:after="0"/>
            </w:pPr>
            <w:r>
              <w:rPr>
                <w:sz w:val="17"/>
              </w:rPr>
              <w:t>Skal fremgå tydelig og samlet i tilbudet. Vesentlige avvik eller forbehold kan medføre avvisning.</w:t>
            </w:r>
          </w:p>
        </w:tc>
      </w:tr>
    </w:tbl>
    <w:p>
      <w:pPr>
        <w:spacing w:after="0"/>
      </w:pPr>
    </w:p>
    <w:p>
      <w:pPr/>
      <w:r>
        <w:t>Dersom flere leverandører leverer felles tilbud, skal deltakerne identifiseres i dokument 05 Tilbudsskjema. Øvrig dokumentasjon om fellesskapet og ESPD håndteres i Artifik.</w:t>
      </w:r>
    </w:p>
    <w:p>
      <w:pPr>
        <w:pStyle w:val="Heading1"/>
      </w:pPr>
      <w:r>
        <w:t>10. Pris</w:t>
      </w:r>
    </w:p>
    <w:p>
      <w:r>
        <w:t>Tilbyder skal oppgi timepris ekskl. mva. for junior og senior innen hvert av de seks hovedområdene i oppdragsbeskrivelsen, totalt 12 prislinjer. Junior er personell med 0 til 4 års relevant erfaring. Senior er personell med 5 års relevant erfaring eller mer. Alle roller, herunder fagansvarlig, oppdragsleder, spesialist og partner, skal faktureres som junior eller senior ut fra relevant erfaring.</w:t>
      </w:r>
    </w:p>
    <w:p>
      <w:r>
        <w:t>Innen hvert hovedområde beregnes en evaluert timepris med 30 prosent junior og 70 prosent senior. Hovedområdene vektes deretter slik: planlegging, samfunnsutvikling og analyse 30 prosent, arkitektur, bygg og eiendom 25 prosent, kommunalteknikk og infrastruktur 15 prosent, sjø, havn og maritime anlegg 10 prosent, miljø, natur, grunn og kulturmiljø 10 prosent, og prosjektledelse, byggeledelse og annen prosjektbistand 10 prosent. Samlet evaluert pris fremgår av dokument 03 Prisskjema. Laveste samlede evaluerte pris gis 10 poeng. Øvrige tilbud gis prispoeng etter formelen laveste evaluerte pris delt på tilbudets evaluerte pris, multiplisert med 10.</w:t>
      </w:r>
    </w:p>
    <w:p>
      <w:r>
        <w:t>Vektingen mellom hovedområdene er fastsatt med utgangspunkt i kommunens historiske kjøp av rådgivnings og konsulenttjenester, supplert med kjente behov tidlig i avtaleperioden. Fordelingen brukes bare som evalueringsforutsetning. Den er ikke bindende for hvilke oppdrag kommunen vil bestille eller for faktisk omsetning innen det enkelte hovedområde. Faktisk bruk kan derfor avvike vesentlig fra vektingen som brukes i tilbudsevalueringen.</w:t>
      </w:r>
    </w:p>
    <w:p>
      <w:pPr>
        <w:pStyle w:val="Heading1"/>
      </w:pPr>
      <w:r>
        <w:t>11. Tildelingskriterier</w:t>
      </w:r>
    </w:p>
    <w:p>
      <w:r>
        <w:t>Kontrakt tildeles tilbudet med det beste forholdet mellom pris og kvalitet etter følgende vekting:</w:t>
      </w:r>
    </w:p>
    <w:tbl>
      <w:tblPr>
        <w:tblStyle w:val="TableGrid"/>
        <w:tblW w:type="auto" w:w="0"/>
        <w:jc w:val="left"/>
        <w:tblLook w:firstColumn="1" w:firstRow="1" w:lastColumn="0" w:lastRow="0" w:noHBand="0" w:noVBand="1" w:val="04A0"/>
      </w:tblPr>
      <w:tblGrid>
        <w:gridCol w:w="4986"/>
        <w:gridCol w:w="4986"/>
      </w:tblGrid>
      <w:tr>
        <w:trPr>
          <w:tblHeader w:val="true"/>
          <w:cantSplit/>
        </w:trPr>
        <w:tc>
          <w:tcPr>
            <w:tcW w:type="dxa" w:w="6803"/>
            <w:shd w:fill="163A5F"/>
            <w:tcMar>
              <w:top w:w="90" w:type="dxa"/>
              <w:start w:w="90" w:type="dxa"/>
              <w:bottom w:w="90" w:type="dxa"/>
              <w:end w:w="90" w:type="dxa"/>
            </w:tcMar>
            <w:vAlign w:val="center"/>
          </w:tcPr>
          <w:p>
            <w:pPr>
              <w:spacing w:after="0"/>
            </w:pPr>
            <w:r>
              <w:rPr>
                <w:b/>
                <w:color w:val="FFFFFF"/>
                <w:sz w:val="18"/>
              </w:rPr>
              <w:t>Kriterium</w:t>
            </w:r>
          </w:p>
        </w:tc>
        <w:tc>
          <w:tcPr>
            <w:tcW w:type="dxa" w:w="2494"/>
            <w:shd w:fill="163A5F"/>
            <w:tcMar>
              <w:top w:w="90" w:type="dxa"/>
              <w:start w:w="90" w:type="dxa"/>
              <w:bottom w:w="90" w:type="dxa"/>
              <w:end w:w="90" w:type="dxa"/>
            </w:tcMar>
            <w:vAlign w:val="center"/>
          </w:tcPr>
          <w:p>
            <w:pPr>
              <w:spacing w:after="0"/>
            </w:pPr>
            <w:r>
              <w:rPr>
                <w:b/>
                <w:color w:val="FFFFFF"/>
                <w:sz w:val="18"/>
              </w:rPr>
              <w:t>Vekt</w:t>
            </w:r>
          </w:p>
        </w:tc>
      </w:tr>
      <w:tr>
        <w:trPr>
          <w:cantSplit/>
        </w:trPr>
        <w:tc>
          <w:tcPr>
            <w:tcW w:type="dxa" w:w="6803"/>
            <w:tcMar>
              <w:top w:w="90" w:type="dxa"/>
              <w:start w:w="90" w:type="dxa"/>
              <w:bottom w:w="90" w:type="dxa"/>
              <w:end w:w="90" w:type="dxa"/>
            </w:tcMar>
            <w:vAlign w:val="top"/>
          </w:tcPr>
          <w:p>
            <w:r>
              <w:t>Pris</w:t>
            </w:r>
          </w:p>
        </w:tc>
        <w:tc>
          <w:tcPr>
            <w:tcW w:type="dxa" w:w="2494"/>
            <w:tcMar>
              <w:top w:w="90" w:type="dxa"/>
              <w:start w:w="90" w:type="dxa"/>
              <w:bottom w:w="90" w:type="dxa"/>
              <w:end w:w="90" w:type="dxa"/>
            </w:tcMar>
            <w:vAlign w:val="top"/>
          </w:tcPr>
          <w:p>
            <w:r>
              <w:t>50 %</w:t>
            </w:r>
          </w:p>
        </w:tc>
      </w:tr>
      <w:tr>
        <w:trPr>
          <w:cantSplit/>
        </w:trPr>
        <w:tc>
          <w:tcPr>
            <w:tcW w:type="dxa" w:w="6803"/>
            <w:tcMar>
              <w:top w:w="90" w:type="dxa"/>
              <w:start w:w="90" w:type="dxa"/>
              <w:bottom w:w="90" w:type="dxa"/>
              <w:end w:w="90" w:type="dxa"/>
            </w:tcMar>
            <w:vAlign w:val="top"/>
          </w:tcPr>
          <w:p>
            <w:r>
              <w:t>Organisering, bemanning og gjennomføring</w:t>
            </w:r>
          </w:p>
        </w:tc>
        <w:tc>
          <w:tcPr>
            <w:tcW w:type="dxa" w:w="2494"/>
            <w:tcMar>
              <w:top w:w="90" w:type="dxa"/>
              <w:start w:w="90" w:type="dxa"/>
              <w:bottom w:w="90" w:type="dxa"/>
              <w:end w:w="90" w:type="dxa"/>
            </w:tcMar>
            <w:vAlign w:val="top"/>
          </w:tcPr>
          <w:p>
            <w:r>
              <w:t>30 %</w:t>
            </w:r>
          </w:p>
        </w:tc>
      </w:tr>
      <w:tr>
        <w:trPr>
          <w:cantSplit/>
        </w:trPr>
        <w:tc>
          <w:tcPr>
            <w:tcW w:type="dxa" w:w="6803"/>
            <w:tcMar>
              <w:top w:w="90" w:type="dxa"/>
              <w:start w:w="90" w:type="dxa"/>
              <w:bottom w:w="90" w:type="dxa"/>
              <w:end w:w="90" w:type="dxa"/>
            </w:tcMar>
            <w:vAlign w:val="top"/>
          </w:tcPr>
          <w:p>
            <w:r>
              <w:t>Tilgang til kompetanse og samtidige oppdrag</w:t>
            </w:r>
          </w:p>
        </w:tc>
        <w:tc>
          <w:tcPr>
            <w:tcW w:type="dxa" w:w="2494"/>
            <w:tcMar>
              <w:top w:w="90" w:type="dxa"/>
              <w:start w:w="90" w:type="dxa"/>
              <w:bottom w:w="90" w:type="dxa"/>
              <w:end w:w="90" w:type="dxa"/>
            </w:tcMar>
            <w:vAlign w:val="top"/>
          </w:tcPr>
          <w:p>
            <w:r>
              <w:t>10 %</w:t>
            </w:r>
          </w:p>
        </w:tc>
      </w:tr>
      <w:tr>
        <w:trPr>
          <w:cantSplit/>
        </w:trPr>
        <w:tc>
          <w:tcPr>
            <w:tcW w:type="dxa" w:w="6803"/>
            <w:tcMar>
              <w:top w:w="90" w:type="dxa"/>
              <w:start w:w="90" w:type="dxa"/>
              <w:bottom w:w="90" w:type="dxa"/>
              <w:end w:w="90" w:type="dxa"/>
            </w:tcMar>
            <w:vAlign w:val="top"/>
          </w:tcPr>
          <w:p>
            <w:r>
              <w:t>Avtaleansvarlig</w:t>
            </w:r>
          </w:p>
        </w:tc>
        <w:tc>
          <w:tcPr>
            <w:tcW w:type="dxa" w:w="2494"/>
            <w:tcMar>
              <w:top w:w="90" w:type="dxa"/>
              <w:start w:w="90" w:type="dxa"/>
              <w:bottom w:w="90" w:type="dxa"/>
              <w:end w:w="90" w:type="dxa"/>
            </w:tcMar>
            <w:vAlign w:val="top"/>
          </w:tcPr>
          <w:p>
            <w:r>
              <w:t>10 %</w:t>
            </w:r>
          </w:p>
        </w:tc>
      </w:tr>
    </w:tbl>
    <w:p>
      <w:pPr>
        <w:spacing w:after="0"/>
      </w:pPr>
    </w:p>
    <w:p>
      <w:pPr>
        <w:pStyle w:val="Heading2"/>
      </w:pPr>
      <w:r>
        <w:t>11.1 Pris</w:t>
      </w:r>
    </w:p>
    <w:p>
      <w:r>
        <w:t>Pris evalueres som beskrevet i punkt 10 og dokument 03 Prisskjema.</w:t>
      </w:r>
    </w:p>
    <w:p>
      <w:pPr>
        <w:pStyle w:val="Heading2"/>
      </w:pPr>
      <w:r>
        <w:t>11.2 Organisering, bemanning og gjennomføring</w:t>
      </w:r>
    </w:p>
    <w:p>
      <w:r>
        <w:t>Tilbyder skal på maksimalt 4 A4 sider beskrive hvordan rammeavtalen konkret vil bli organisert og gjennomført. Besvarelsen vurderes samlet. Det legges særlig vekt på:</w:t>
      </w:r>
    </w:p>
    <w:p>
      <w:pPr>
        <w:pStyle w:val="ListBullet"/>
      </w:pPr>
      <w:r>
        <w:t>hvordan kommunens henvendelser mottas, forstås, bemannes og kobles til riktig kompetanse på en kostnadseffektiv måte</w:t>
      </w:r>
    </w:p>
    <w:p>
      <w:pPr>
        <w:pStyle w:val="ListBullet"/>
      </w:pPr>
      <w:r>
        <w:t>hvordan hovedleverandøren koordinerer egne ressurser, underleverandører og eventuelle støttende virksomheter slik at kommunen har én inngang og lav administrativ belastning</w:t>
      </w:r>
    </w:p>
    <w:p>
      <w:pPr>
        <w:pStyle w:val="ListBullet"/>
      </w:pPr>
      <w:r>
        <w:t>hvordan kontinuitet, kunnskapsoverføring og opparbeidet kjennskap til Kvitsøy kommune sikres mellom oppdrag og fagpersoner</w:t>
      </w:r>
    </w:p>
    <w:p>
      <w:pPr>
        <w:pStyle w:val="ListBullet"/>
      </w:pPr>
      <w:r>
        <w:t>hvordan framdrift, økonomi, kommunikasjon, kvalitetssikring og tidlig varsling ved avvik følges opp i oppdragene</w:t>
      </w:r>
    </w:p>
    <w:p>
      <w:r>
        <w:t>De kontraktsfestede fristene for svar og oppstart er minstekrav og gir ikke i seg selv kvalitetsuttelling.</w:t>
      </w:r>
    </w:p>
    <w:p>
      <w:pPr>
        <w:pStyle w:val="Heading2"/>
      </w:pPr>
      <w:r>
        <w:t>11.3 Tilgang til kompetanse og samtidige oppdrag</w:t>
      </w:r>
    </w:p>
    <w:p>
      <w:r>
        <w:t>Tilbyder skal på maksimalt 2 A4 sider beskrive den konkrete leveransemodellen som stilles til disposisjon for Kvitsøy kommune. Det legges særlig vekt på:</w:t>
      </w:r>
    </w:p>
    <w:p>
      <w:pPr>
        <w:pStyle w:val="Heading2"/>
      </w:pPr>
      <w:r>
        <w:t>hvordan reell tilgang til relevante fagressurser innen alle seks hovedområder sikres gjennom avtaleperioden</w:t>
      </w:r>
    </w:p>
    <w:p>
      <w:r>
        <w:t>hvordan leverandøren vil kunne håndtere de to kjente reguleringsplanoppdragene samtidig med andre løpende og prosjektbaserte behov</w:t>
      </w:r>
    </w:p>
    <w:p>
      <w:pPr>
        <w:pStyle w:val="ListNumber"/>
      </w:pPr>
      <w:r>
        <w:t>hvordan kapasitet kan skaleres ved bruk av egne ressurser, underleverandører eller andre virksomheter som leverandøren har tilgang til</w:t>
      </w:r>
    </w:p>
    <w:p>
      <w:pPr>
        <w:pStyle w:val="ListNumber"/>
      </w:pPr>
      <w:r>
        <w:t>hvordan fravær, ressurskonflikter og parallelle hastebehov håndteres uten unødig belastning for kommunen</w:t>
      </w:r>
    </w:p>
    <w:p>
      <w:pPr>
        <w:pStyle w:val="ListNumber"/>
      </w:pPr>
      <w:r>
        <w:t>Det gis ikke kvalitetsuttelling for leverandørens størrelse eller antall ansatte i seg selv. Vurderingen gjelder hvor konkret, robust og egnet den tilbudte leveransemodellen er for denne rammeavtalen.</w:t>
      </w:r>
    </w:p>
    <w:p>
      <w:r>
        <w:t>11.4 Avtaleansvarlig</w:t>
      </w:r>
    </w:p>
    <w:p>
      <w:r>
        <w:t>Tilbudt avtaleansvarlig vurderes på grunnlag av CV på maksimalt 2 A4 sider og to kommunale rammeavtalereferanser hvor vedkommende har hatt en sentral rolle. Stedfortreder skal navngis, men evalueres ikke. Innen kriteriet avtaleansvarlig vektes CV 60 prosent og referanser 40 prosent.</w:t>
      </w:r>
    </w:p>
    <w:p>
      <w:r>
        <w:t>CV vurderes særlig på relevant erfaring med kommunale oppdragsgivere, rammeavtaler og løpende konsulentbistand, koordinering av flere fagområder og rolle som avtaleansvarlig, oppdragsleder eller tilsvarende. Relevansen i erfaringen vektlegges, ikke bare antall år.</w:t>
      </w:r>
    </w:p>
    <w:p>
      <w:r>
        <w:t>Oppdragsgiver gjennomfører korte og standardiserte referansesamtaler. De samme tre spørsmålene stilles til begge referansene:</w:t>
      </w:r>
    </w:p>
    <w:p>
      <w:pPr>
        <w:pStyle w:val="ListBullet"/>
      </w:pPr>
      <w:r>
        <w:t>Hvordan fungerte den tilbudte avtaleansvarlige som kommunens kontaktpunkt, herunder evnen til å koble inn riktig kompetanse?</w:t>
      </w:r>
    </w:p>
    <w:p>
      <w:pPr>
        <w:pStyle w:val="ListBullet"/>
      </w:pPr>
      <w:r>
        <w:t>I hvilken grad opparbeidet vedkommende seg forståelse for kommunen og kommunens behov, slik at tidligere kunnskap ble tatt med videre i nye oppdrag?</w:t>
      </w:r>
    </w:p>
    <w:p>
      <w:pPr>
        <w:pStyle w:val="ListBullet"/>
      </w:pPr>
      <w:r>
        <w:t>Hvordan fungerte oppfølgingen av framdrift, kommunikasjon, økonomi og kvalitet?</w:t>
      </w:r>
    </w:p>
    <w:p>
      <w:r>
        <w:t>Dersom en oppgitt referanse ikke nås etter to dokumenterte forsøk på ulike virkedager, kan oppdragsgiver be om én erstatningsreferanse. Dersom gyldig referanse fortsatt ikke kan innhentes, gis 1 poeng på hvert av de tre referansespørsmålene for den manglende referansen.</w:t>
      </w:r>
    </w:p>
    <w:p>
      <w:pPr>
        <w:pStyle w:val="Heading2"/>
      </w:pPr>
      <w:r>
        <w:t>11.5 Poengskala for kvalitet</w:t>
      </w:r>
    </w:p>
    <w:p>
      <w:r>
        <w:t>Kvalitet vurderes på en skala fra 0 til 10. Følgende holdepunkter legges til grunn. Mellomliggende poeng kan brukes når det er saklig grunnlag for det.</w:t>
      </w:r>
    </w:p>
    <w:tbl>
      <w:tblPr>
        <w:tblStyle w:val="TableGrid"/>
        <w:tblW w:type="auto" w:w="0"/>
        <w:jc w:val="left"/>
        <w:tblLook w:firstColumn="1" w:firstRow="1" w:lastColumn="0" w:lastRow="0" w:noHBand="0" w:noVBand="1" w:val="04A0"/>
      </w:tblPr>
      <w:tblGrid>
        <w:gridCol w:w="4986"/>
        <w:gridCol w:w="4986"/>
      </w:tblGrid>
      <w:tr>
        <w:trPr>
          <w:tblHeader w:val="true"/>
          <w:cantSplit/>
        </w:trPr>
        <w:tc>
          <w:tcPr>
            <w:tcW w:type="dxa" w:w="1361"/>
            <w:shd w:fill="163A5F"/>
            <w:tcMar>
              <w:top w:w="90" w:type="dxa"/>
              <w:start w:w="90" w:type="dxa"/>
              <w:bottom w:w="90" w:type="dxa"/>
              <w:end w:w="90" w:type="dxa"/>
            </w:tcMar>
            <w:vAlign w:val="center"/>
          </w:tcPr>
          <w:p>
            <w:pPr>
              <w:spacing w:after="0"/>
            </w:pPr>
            <w:r>
              <w:rPr>
                <w:b/>
                <w:color w:val="FFFFFF"/>
                <w:sz w:val="18"/>
              </w:rPr>
              <w:t>Poeng</w:t>
            </w:r>
          </w:p>
        </w:tc>
        <w:tc>
          <w:tcPr>
            <w:tcW w:type="dxa" w:w="7937"/>
            <w:shd w:fill="163A5F"/>
            <w:tcMar>
              <w:top w:w="90" w:type="dxa"/>
              <w:start w:w="90" w:type="dxa"/>
              <w:bottom w:w="90" w:type="dxa"/>
              <w:end w:w="90" w:type="dxa"/>
            </w:tcMar>
            <w:vAlign w:val="center"/>
          </w:tcPr>
          <w:p>
            <w:pPr>
              <w:spacing w:after="0"/>
            </w:pPr>
            <w:r>
              <w:rPr>
                <w:b/>
                <w:color w:val="FFFFFF"/>
                <w:sz w:val="18"/>
              </w:rPr>
              <w:t>Beskrivelse</w:t>
            </w:r>
          </w:p>
        </w:tc>
      </w:tr>
      <w:tr>
        <w:trPr>
          <w:cantSplit/>
        </w:trPr>
        <w:tc>
          <w:tcPr>
            <w:tcW w:type="dxa" w:w="1361"/>
            <w:tcMar>
              <w:top w:w="90" w:type="dxa"/>
              <w:start w:w="90" w:type="dxa"/>
              <w:bottom w:w="90" w:type="dxa"/>
              <w:end w:w="90" w:type="dxa"/>
            </w:tcMar>
            <w:vAlign w:val="top"/>
          </w:tcPr>
          <w:p>
            <w:pPr>
              <w:spacing w:after="0"/>
            </w:pPr>
            <w:r>
              <w:rPr>
                <w:sz w:val="18"/>
              </w:rPr>
              <w:t>10</w:t>
            </w:r>
          </w:p>
        </w:tc>
        <w:tc>
          <w:tcPr>
            <w:tcW w:type="dxa" w:w="7937"/>
            <w:tcMar>
              <w:top w:w="90" w:type="dxa"/>
              <w:start w:w="90" w:type="dxa"/>
              <w:bottom w:w="90" w:type="dxa"/>
              <w:end w:w="90" w:type="dxa"/>
            </w:tcMar>
            <w:vAlign w:val="top"/>
          </w:tcPr>
          <w:p>
            <w:pPr>
              <w:spacing w:after="0"/>
            </w:pPr>
            <w:r>
              <w:rPr>
                <w:sz w:val="18"/>
              </w:rPr>
              <w:t>Fremragende oppfyllelse og svært høy forventet merverdi.</w:t>
            </w:r>
          </w:p>
        </w:tc>
      </w:tr>
      <w:tr>
        <w:trPr>
          <w:cantSplit/>
        </w:trPr>
        <w:tc>
          <w:tcPr>
            <w:tcW w:type="dxa" w:w="1361"/>
            <w:tcMar>
              <w:top w:w="90" w:type="dxa"/>
              <w:start w:w="90" w:type="dxa"/>
              <w:bottom w:w="90" w:type="dxa"/>
              <w:end w:w="90" w:type="dxa"/>
            </w:tcMar>
            <w:vAlign w:val="top"/>
          </w:tcPr>
          <w:p>
            <w:pPr>
              <w:spacing w:after="0"/>
            </w:pPr>
            <w:r>
              <w:rPr>
                <w:sz w:val="18"/>
              </w:rPr>
              <w:t>8</w:t>
            </w:r>
          </w:p>
        </w:tc>
        <w:tc>
          <w:tcPr>
            <w:tcW w:type="dxa" w:w="7937"/>
            <w:tcMar>
              <w:top w:w="90" w:type="dxa"/>
              <w:start w:w="90" w:type="dxa"/>
              <w:bottom w:w="90" w:type="dxa"/>
              <w:end w:w="90" w:type="dxa"/>
            </w:tcMar>
            <w:vAlign w:val="top"/>
          </w:tcPr>
          <w:p>
            <w:pPr>
              <w:spacing w:after="0"/>
            </w:pPr>
            <w:r>
              <w:rPr>
                <w:sz w:val="18"/>
              </w:rPr>
              <w:t>Meget god oppfyllelse og klar merverdi.</w:t>
            </w:r>
          </w:p>
        </w:tc>
      </w:tr>
      <w:tr>
        <w:trPr>
          <w:cantSplit/>
        </w:trPr>
        <w:tc>
          <w:tcPr>
            <w:tcW w:type="dxa" w:w="1361"/>
            <w:tcMar>
              <w:top w:w="90" w:type="dxa"/>
              <w:start w:w="90" w:type="dxa"/>
              <w:bottom w:w="90" w:type="dxa"/>
              <w:end w:w="90" w:type="dxa"/>
            </w:tcMar>
            <w:vAlign w:val="top"/>
          </w:tcPr>
          <w:p>
            <w:pPr>
              <w:spacing w:after="0"/>
            </w:pPr>
            <w:r>
              <w:rPr>
                <w:sz w:val="18"/>
              </w:rPr>
              <w:t>6</w:t>
            </w:r>
          </w:p>
        </w:tc>
        <w:tc>
          <w:tcPr>
            <w:tcW w:type="dxa" w:w="7937"/>
            <w:tcMar>
              <w:top w:w="90" w:type="dxa"/>
              <w:start w:w="90" w:type="dxa"/>
              <w:bottom w:w="90" w:type="dxa"/>
              <w:end w:w="90" w:type="dxa"/>
            </w:tcMar>
            <w:vAlign w:val="top"/>
          </w:tcPr>
          <w:p>
            <w:pPr>
              <w:spacing w:after="0"/>
            </w:pPr>
            <w:r>
              <w:rPr>
                <w:sz w:val="18"/>
              </w:rPr>
              <w:t>God oppfyllelse.</w:t>
            </w:r>
          </w:p>
        </w:tc>
      </w:tr>
      <w:tr>
        <w:trPr>
          <w:cantSplit/>
        </w:trPr>
        <w:tc>
          <w:tcPr>
            <w:tcW w:type="dxa" w:w="1361"/>
            <w:tcMar>
              <w:top w:w="90" w:type="dxa"/>
              <w:start w:w="90" w:type="dxa"/>
              <w:bottom w:w="90" w:type="dxa"/>
              <w:end w:w="90" w:type="dxa"/>
            </w:tcMar>
            <w:vAlign w:val="top"/>
          </w:tcPr>
          <w:p>
            <w:pPr>
              <w:spacing w:after="0"/>
            </w:pPr>
            <w:r>
              <w:rPr>
                <w:sz w:val="18"/>
              </w:rPr>
              <w:t>4</w:t>
            </w:r>
          </w:p>
        </w:tc>
        <w:tc>
          <w:tcPr>
            <w:tcW w:type="dxa" w:w="7937"/>
            <w:tcMar>
              <w:top w:w="90" w:type="dxa"/>
              <w:start w:w="90" w:type="dxa"/>
              <w:bottom w:w="90" w:type="dxa"/>
              <w:end w:w="90" w:type="dxa"/>
            </w:tcMar>
            <w:vAlign w:val="top"/>
          </w:tcPr>
          <w:p>
            <w:pPr>
              <w:spacing w:after="0"/>
            </w:pPr>
            <w:r>
              <w:rPr>
                <w:sz w:val="18"/>
              </w:rPr>
              <w:t>Akseptabel oppfyllelse, men med svakheter.</w:t>
            </w:r>
          </w:p>
        </w:tc>
      </w:tr>
      <w:tr>
        <w:trPr>
          <w:cantSplit/>
        </w:trPr>
        <w:tc>
          <w:tcPr>
            <w:tcW w:type="dxa" w:w="1361"/>
            <w:tcMar>
              <w:top w:w="90" w:type="dxa"/>
              <w:start w:w="90" w:type="dxa"/>
              <w:bottom w:w="90" w:type="dxa"/>
              <w:end w:w="90" w:type="dxa"/>
            </w:tcMar>
            <w:vAlign w:val="top"/>
          </w:tcPr>
          <w:p>
            <w:pPr>
              <w:spacing w:after="0"/>
            </w:pPr>
            <w:r>
              <w:rPr>
                <w:sz w:val="18"/>
              </w:rPr>
              <w:t>2</w:t>
            </w:r>
          </w:p>
        </w:tc>
        <w:tc>
          <w:tcPr>
            <w:tcW w:type="dxa" w:w="7937"/>
            <w:tcMar>
              <w:top w:w="90" w:type="dxa"/>
              <w:start w:w="90" w:type="dxa"/>
              <w:bottom w:w="90" w:type="dxa"/>
              <w:end w:w="90" w:type="dxa"/>
            </w:tcMar>
            <w:vAlign w:val="top"/>
          </w:tcPr>
          <w:p>
            <w:pPr>
              <w:spacing w:after="0"/>
            </w:pPr>
            <w:r>
              <w:rPr>
                <w:sz w:val="18"/>
              </w:rPr>
              <w:t>Svak oppfyllelse.</w:t>
            </w:r>
          </w:p>
        </w:tc>
      </w:tr>
      <w:tr>
        <w:trPr>
          <w:cantSplit/>
        </w:trPr>
        <w:tc>
          <w:tcPr>
            <w:tcW w:type="dxa" w:w="1361"/>
            <w:tcMar>
              <w:top w:w="90" w:type="dxa"/>
              <w:start w:w="90" w:type="dxa"/>
              <w:bottom w:w="90" w:type="dxa"/>
              <w:end w:w="90" w:type="dxa"/>
            </w:tcMar>
            <w:vAlign w:val="top"/>
          </w:tcPr>
          <w:p>
            <w:pPr>
              <w:spacing w:after="0"/>
            </w:pPr>
            <w:r>
              <w:rPr>
                <w:sz w:val="18"/>
              </w:rPr>
              <w:t>0</w:t>
            </w:r>
          </w:p>
        </w:tc>
        <w:tc>
          <w:tcPr>
            <w:tcW w:type="dxa" w:w="7937"/>
            <w:tcMar>
              <w:top w:w="90" w:type="dxa"/>
              <w:start w:w="90" w:type="dxa"/>
              <w:bottom w:w="90" w:type="dxa"/>
              <w:end w:w="90" w:type="dxa"/>
            </w:tcMar>
            <w:vAlign w:val="top"/>
          </w:tcPr>
          <w:p>
            <w:pPr>
              <w:spacing w:after="0"/>
            </w:pPr>
            <w:r>
              <w:rPr>
                <w:sz w:val="18"/>
              </w:rPr>
              <w:t>Mangelfull eller ikke dokumentert oppfyllelse.</w:t>
            </w:r>
          </w:p>
        </w:tc>
      </w:tr>
    </w:tbl>
    <w:p>
      <w:pPr>
        <w:spacing w:after="0"/>
      </w:pPr>
    </w:p>
    <w:p>
      <w:pPr>
        <w:pStyle w:val="Heading2"/>
      </w:pPr>
      <w:r>
        <w:t>11.6 Samlet poeng og rangering</w:t>
      </w:r>
    </w:p>
    <w:p>
      <w:r>
        <w:t>Vektet totalscore beregnes som prispoeng multiplisert med 0,50, poeng for organisering, bemanning og gjennomføring multiplisert med 0,30, poeng for tilgang til kompetanse og samtidige oppdrag multiplisert med 0,10 og poeng for avtaleansvarlig multiplisert med 0,10. Tilbudet med høyest totalscore rangeres først.</w:t>
      </w:r>
    </w:p>
    <w:p>
      <w:r>
        <w:t>Ved lik totalscore rangeres tilbudet med høyest samlet kvalitetspoeng først. Dersom dette også er likt, rangeres tilbudet med høyest poeng på organisering, bemanning og gjennomføring først. Dersom tilbudene fortsatt er like, avgjøres rangeringen ved dokumentert loddtrekning.</w:t>
      </w:r>
    </w:p>
    <w:p>
      <w:pPr>
        <w:pStyle w:val="Heading1"/>
      </w:pPr>
      <w:r>
        <w:t>12. Tilbudets språk og vedståelsesfrist</w:t>
      </w:r>
    </w:p>
    <w:p>
      <w:r>
        <w:t>Tilbudet skal være på norsk. Vedståelsesfristen er 90 kalenderdager regnet fra tilbudsfristen. Den konkrete datoen fremgår av Artifik og skal justeres dersom tilbudsfristen endres.</w:t>
      </w:r>
    </w:p>
    <w:p>
      <w:pPr>
        <w:pStyle w:val="Heading1"/>
      </w:pPr>
      <w:r>
        <w:t>13. Taushetsbelagte opplysninger</w:t>
      </w:r>
    </w:p>
    <w:p>
      <w:r>
        <w:t>Tilbyder skal tydelig markere hvilke opplysninger som etter tilbyderens vurdering er underlagt taushetsplikt. Det er oppdragsgiver som foretar den endelige rettslige vurderingen ved en eventuell innsynsbegjæring.</w:t>
      </w:r>
    </w:p>
    <w:p>
      <w:pPr>
        <w:pStyle w:val="Heading1"/>
      </w:pPr>
      <w:r>
        <w:t>14. Kostnader ved deltakelse</w:t>
      </w:r>
    </w:p>
    <w:p>
      <w:r>
        <w:t>Tilbyder bærer egne kostnader ved utarbeidelse og levering av tilbud, referanseoppfølging og eventuell annen deltakelse i konkurransen.</w:t>
      </w:r>
    </w:p>
    <w:p>
      <w:pPr>
        <w:pStyle w:val="Heading1"/>
      </w:pPr>
      <w:r>
        <w:t>15. Konkurransedokumenter</w:t>
      </w:r>
    </w:p>
    <w:tbl>
      <w:tblPr>
        <w:tblStyle w:val="TableGrid"/>
        <w:tblW w:type="auto" w:w="0"/>
        <w:jc w:val="left"/>
        <w:tblLook w:firstColumn="1" w:firstRow="1" w:lastColumn="0" w:lastRow="0" w:noHBand="0" w:noVBand="1" w:val="04A0"/>
      </w:tblPr>
      <w:tblGrid>
        <w:gridCol w:w="4986"/>
        <w:gridCol w:w="4986"/>
      </w:tblGrid>
      <w:tr>
        <w:trPr>
          <w:tblHeader w:val="true"/>
          <w:cantSplit/>
        </w:trPr>
        <w:tc>
          <w:tcPr>
            <w:tcW w:type="dxa" w:w="1134"/>
            <w:shd w:fill="163A5F"/>
            <w:tcMar>
              <w:top w:w="90" w:type="dxa"/>
              <w:start w:w="90" w:type="dxa"/>
              <w:bottom w:w="90" w:type="dxa"/>
              <w:end w:w="90" w:type="dxa"/>
            </w:tcMar>
            <w:vAlign w:val="center"/>
          </w:tcPr>
          <w:p>
            <w:pPr>
              <w:spacing w:after="0"/>
            </w:pPr>
            <w:r>
              <w:rPr>
                <w:b/>
                <w:color w:val="FFFFFF"/>
                <w:sz w:val="18"/>
              </w:rPr>
              <w:t>Nr.</w:t>
            </w:r>
          </w:p>
        </w:tc>
        <w:tc>
          <w:tcPr>
            <w:tcW w:type="dxa" w:w="8164"/>
            <w:shd w:fill="163A5F"/>
            <w:tcMar>
              <w:top w:w="90" w:type="dxa"/>
              <w:start w:w="90" w:type="dxa"/>
              <w:bottom w:w="90" w:type="dxa"/>
              <w:end w:w="90" w:type="dxa"/>
            </w:tcMar>
            <w:vAlign w:val="center"/>
          </w:tcPr>
          <w:p>
            <w:pPr>
              <w:spacing w:after="0"/>
            </w:pPr>
            <w:r>
              <w:rPr>
                <w:b/>
                <w:color w:val="FFFFFF"/>
                <w:sz w:val="18"/>
              </w:rPr>
              <w:t>Dokument</w:t>
            </w:r>
          </w:p>
        </w:tc>
      </w:tr>
      <w:tr>
        <w:trPr>
          <w:cantSplit/>
        </w:trPr>
        <w:tc>
          <w:tcPr>
            <w:tcW w:type="dxa" w:w="1134"/>
            <w:tcMar>
              <w:top w:w="90" w:type="dxa"/>
              <w:start w:w="90" w:type="dxa"/>
              <w:bottom w:w="90" w:type="dxa"/>
              <w:end w:w="90" w:type="dxa"/>
            </w:tcMar>
            <w:vAlign w:val="top"/>
          </w:tcPr>
          <w:p>
            <w:pPr>
              <w:spacing w:after="0"/>
            </w:pPr>
            <w:r>
              <w:rPr>
                <w:sz w:val="18"/>
              </w:rPr>
              <w:t>1</w:t>
            </w:r>
          </w:p>
        </w:tc>
        <w:tc>
          <w:tcPr>
            <w:tcW w:type="dxa" w:w="8164"/>
            <w:tcMar>
              <w:top w:w="90" w:type="dxa"/>
              <w:start w:w="90" w:type="dxa"/>
              <w:bottom w:w="90" w:type="dxa"/>
              <w:end w:w="90" w:type="dxa"/>
            </w:tcMar>
            <w:vAlign w:val="top"/>
          </w:tcPr>
          <w:p>
            <w:pPr>
              <w:spacing w:after="0"/>
            </w:pPr>
            <w:r>
              <w:rPr>
                <w:sz w:val="18"/>
              </w:rPr>
              <w:t>Konkurransegrunnlag</w:t>
            </w:r>
          </w:p>
        </w:tc>
      </w:tr>
      <w:tr>
        <w:trPr>
          <w:cantSplit/>
        </w:trPr>
        <w:tc>
          <w:tcPr>
            <w:tcW w:type="dxa" w:w="1134"/>
            <w:tcMar>
              <w:top w:w="90" w:type="dxa"/>
              <w:start w:w="90" w:type="dxa"/>
              <w:bottom w:w="90" w:type="dxa"/>
              <w:end w:w="90" w:type="dxa"/>
            </w:tcMar>
            <w:vAlign w:val="top"/>
          </w:tcPr>
          <w:p>
            <w:pPr>
              <w:spacing w:after="0"/>
            </w:pPr>
            <w:r>
              <w:rPr>
                <w:sz w:val="18"/>
              </w:rPr>
              <w:t>2</w:t>
            </w:r>
          </w:p>
        </w:tc>
        <w:tc>
          <w:tcPr>
            <w:tcW w:type="dxa" w:w="8164"/>
            <w:tcMar>
              <w:top w:w="90" w:type="dxa"/>
              <w:start w:w="90" w:type="dxa"/>
              <w:bottom w:w="90" w:type="dxa"/>
              <w:end w:w="90" w:type="dxa"/>
            </w:tcMar>
            <w:vAlign w:val="top"/>
          </w:tcPr>
          <w:p>
            <w:pPr>
              <w:spacing w:after="0"/>
            </w:pPr>
            <w:r>
              <w:rPr>
                <w:sz w:val="18"/>
              </w:rPr>
              <w:t>Oppdragsbeskrivelse og kravspesifikasjon</w:t>
            </w:r>
          </w:p>
        </w:tc>
      </w:tr>
      <w:tr>
        <w:trPr>
          <w:cantSplit/>
        </w:trPr>
        <w:tc>
          <w:tcPr>
            <w:tcW w:type="dxa" w:w="1134"/>
            <w:tcMar>
              <w:top w:w="90" w:type="dxa"/>
              <w:start w:w="90" w:type="dxa"/>
              <w:bottom w:w="90" w:type="dxa"/>
              <w:end w:w="90" w:type="dxa"/>
            </w:tcMar>
            <w:vAlign w:val="top"/>
          </w:tcPr>
          <w:p>
            <w:pPr>
              <w:spacing w:after="0"/>
            </w:pPr>
            <w:r>
              <w:rPr>
                <w:sz w:val="18"/>
              </w:rPr>
              <w:t>3</w:t>
            </w:r>
          </w:p>
        </w:tc>
        <w:tc>
          <w:tcPr>
            <w:tcW w:type="dxa" w:w="8164"/>
            <w:tcMar>
              <w:top w:w="90" w:type="dxa"/>
              <w:start w:w="90" w:type="dxa"/>
              <w:bottom w:w="90" w:type="dxa"/>
              <w:end w:w="90" w:type="dxa"/>
            </w:tcMar>
            <w:vAlign w:val="top"/>
          </w:tcPr>
          <w:p>
            <w:pPr>
              <w:spacing w:after="0"/>
            </w:pPr>
            <w:r>
              <w:rPr>
                <w:sz w:val="18"/>
              </w:rPr>
              <w:t>Prisskjema</w:t>
            </w:r>
          </w:p>
        </w:tc>
      </w:tr>
      <w:tr>
        <w:trPr>
          <w:cantSplit/>
        </w:trPr>
        <w:tc>
          <w:tcPr>
            <w:tcW w:type="dxa" w:w="1134"/>
            <w:tcMar>
              <w:top w:w="90" w:type="dxa"/>
              <w:start w:w="90" w:type="dxa"/>
              <w:bottom w:w="90" w:type="dxa"/>
              <w:end w:w="90" w:type="dxa"/>
            </w:tcMar>
            <w:vAlign w:val="top"/>
          </w:tcPr>
          <w:p>
            <w:pPr>
              <w:spacing w:after="0"/>
            </w:pPr>
            <w:r>
              <w:rPr>
                <w:sz w:val="18"/>
              </w:rPr>
              <w:t>4</w:t>
            </w:r>
          </w:p>
        </w:tc>
        <w:tc>
          <w:tcPr>
            <w:tcW w:type="dxa" w:w="8164"/>
            <w:tcMar>
              <w:top w:w="90" w:type="dxa"/>
              <w:start w:w="90" w:type="dxa"/>
              <w:bottom w:w="90" w:type="dxa"/>
              <w:end w:w="90" w:type="dxa"/>
            </w:tcMar>
            <w:vAlign w:val="top"/>
          </w:tcPr>
          <w:p>
            <w:pPr>
              <w:spacing w:after="0"/>
            </w:pPr>
            <w:r>
              <w:rPr>
                <w:sz w:val="18"/>
              </w:rPr>
              <w:t>Rammeavtale og spesielle kontraktsvilkår</w:t>
            </w:r>
          </w:p>
        </w:tc>
      </w:tr>
      <w:tr>
        <w:trPr>
          <w:cantSplit/>
        </w:trPr>
        <w:tc>
          <w:tcPr>
            <w:tcW w:type="dxa" w:w="1134"/>
            <w:tcMar>
              <w:top w:w="90" w:type="dxa"/>
              <w:start w:w="90" w:type="dxa"/>
              <w:bottom w:w="90" w:type="dxa"/>
              <w:end w:w="90" w:type="dxa"/>
            </w:tcMar>
            <w:vAlign w:val="top"/>
          </w:tcPr>
          <w:p>
            <w:pPr>
              <w:spacing w:after="0"/>
            </w:pPr>
            <w:r>
              <w:rPr>
                <w:sz w:val="18"/>
              </w:rPr>
              <w:t>5</w:t>
            </w:r>
          </w:p>
        </w:tc>
        <w:tc>
          <w:tcPr>
            <w:tcW w:type="dxa" w:w="8164"/>
            <w:tcMar>
              <w:top w:w="90" w:type="dxa"/>
              <w:start w:w="90" w:type="dxa"/>
              <w:bottom w:w="90" w:type="dxa"/>
              <w:end w:w="90" w:type="dxa"/>
            </w:tcMar>
            <w:vAlign w:val="top"/>
          </w:tcPr>
          <w:p>
            <w:pPr>
              <w:spacing w:after="0"/>
            </w:pPr>
            <w:r>
              <w:rPr>
                <w:sz w:val="18"/>
              </w:rPr>
              <w:t>Tilbudsskjema</w:t>
            </w:r>
          </w:p>
        </w:tc>
      </w:tr>
      <w:tr>
        <w:trPr>
          <w:cantSplit/>
        </w:trPr>
        <w:tc>
          <w:tcPr>
            <w:tcW w:type="dxa" w:w="1134"/>
            <w:tcMar>
              <w:top w:w="90" w:type="dxa"/>
              <w:start w:w="90" w:type="dxa"/>
              <w:bottom w:w="90" w:type="dxa"/>
              <w:end w:w="90" w:type="dxa"/>
            </w:tcMar>
            <w:vAlign w:val="top"/>
          </w:tcPr>
          <w:p>
            <w:pPr>
              <w:spacing w:after="0"/>
            </w:pPr>
            <w:r>
              <w:rPr>
                <w:sz w:val="18"/>
              </w:rPr>
              <w:t>6</w:t>
            </w:r>
          </w:p>
        </w:tc>
        <w:tc>
          <w:tcPr>
            <w:tcW w:type="dxa" w:w="8164"/>
            <w:tcMar>
              <w:top w:w="90" w:type="dxa"/>
              <w:start w:w="90" w:type="dxa"/>
              <w:bottom w:w="90" w:type="dxa"/>
              <w:end w:w="90" w:type="dxa"/>
            </w:tcMar>
            <w:vAlign w:val="top"/>
          </w:tcPr>
          <w:p>
            <w:pPr>
              <w:spacing w:after="0"/>
            </w:pPr>
            <w:r>
              <w:rPr>
                <w:sz w:val="18"/>
              </w:rPr>
              <w:t>Avropsskjema</w:t>
            </w:r>
          </w:p>
        </w:tc>
      </w:tr>
    </w:tbl>
    <w:p>
      <w:pPr>
        <w:spacing w:after="0"/>
      </w:pPr>
    </w:p>
    <w:sectPr w:rsidR="00FC693F" w:rsidRPr="0006063C" w:rsidSect="00034616">
      <w:headerReference w:type="default" r:id="rId9"/>
      <w:footerReference w:type="default" r:id="rId10"/>
      <w:headerReference w:type="first" r:id="rId11"/>
      <w:footerReference w:type="first" r:id="rId12"/>
      <w:headerReference w:type="even" r:id="rId13"/>
      <w:footerReference w:type="even" r:id="rId14"/>
      <w:pgSz w:w="12240" w:h="15840"/>
      <w:pgMar w:top="1020" w:right="1134" w:bottom="96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jc w:val="center"/>
    </w:pPr>
    <w:r>
      <w:t>Konkurransedokument  |  Utkast 14. september 2026</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jc w:val="right"/>
    </w:pPr>
    <w:r>
      <w:t>KVITSØY KOMMUNE  |  RAMMEAVTALE KONSULENTTJENESTER</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Arial" w:hAnsi="Arial"/>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rial" w:hAnsi="Arial"/>
      <w:b/>
      <w:bCs/>
      <w:color w:val="163A5F"/>
      <w:sz w:val="30"/>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b/>
      <w:bCs/>
      <w:color w:val="163A5F"/>
      <w:sz w:val="24"/>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rial" w:hAnsi="Arial"/>
      <w:b/>
      <w:bCs/>
      <w:color w:val="163A5F"/>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00" w:line="240" w:lineRule="auto" w:before="0"/>
      <w:contextualSpacing/>
    </w:pPr>
    <w:rPr>
      <w:rFonts w:asciiTheme="majorHAnsi" w:eastAsiaTheme="majorEastAsia" w:hAnsiTheme="majorHAnsi" w:cstheme="majorBidi" w:ascii="Arial" w:hAnsi="Arial"/>
      <w:b/>
      <w:color w:val="163A5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
    <w:name w:val="Small"/>
    <w:pPr>
      <w:spacing w:after="60"/>
    </w:pPr>
    <w:rPr>
      <w:rFonts w:ascii="Arial" w:hAnsi="Arial"/>
      <w:color w:val="5B6573"/>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