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Oppdragsbeskrivelse og kravspesifikasjon</w:t>
      </w:r>
    </w:p>
    <w:p>
      <w:pPr>
        <w:pStyle w:val="Small"/>
      </w:pPr>
      <w:r>
        <w:t>UTKAST VERSJON 3  |  14. september 2026</w:t>
      </w:r>
    </w:p>
    <w:tbl>
      <w:tblPr>
        <w:tblW w:type="auto" w:w="0"/>
        <w:jc w:val="left"/>
        <w:tblLayout w:type="autofit"/>
        <w:tblLook w:firstColumn="1" w:firstRow="1" w:lastColumn="0" w:lastRow="0" w:noHBand="0" w:noVBand="1" w:val="04A0"/>
      </w:tblPr>
      <w:tblGrid>
        <w:gridCol w:w="9972"/>
      </w:tblGrid>
      <w:tr>
        <w:trPr>
          <w:cantSplit/>
        </w:trPr>
        <w:tc>
          <w:tcPr>
            <w:tcW w:type="dxa" w:w="9972"/>
            <w:shd w:fill="E9EFF5"/>
            <w:tcMar>
              <w:top w:w="100" w:type="dxa"/>
              <w:start w:w="120" w:type="dxa"/>
              <w:bottom w:w="100" w:type="dxa"/>
              <w:end w:w="120" w:type="dxa"/>
            </w:tcMar>
          </w:tcPr>
          <w:p>
            <w:pPr>
              <w:spacing w:after="0"/>
            </w:pPr>
            <w:r>
              <w:rPr>
                <w:b/>
                <w:sz w:val="18"/>
              </w:rPr>
              <w:t>Utkast. Dokumentet beskriver hovedområder og kontraktskrav. Eksemplene under hovedområdene er ikke uttømmende.</w:t>
            </w:r>
          </w:p>
        </w:tc>
      </w:tr>
    </w:tbl>
    <w:p>
      <w:pPr>
        <w:spacing w:after="0"/>
      </w:pPr>
    </w:p>
    <w:p>
      <w:pPr>
        <w:pStyle w:val="Heading1"/>
      </w:pPr>
      <w:r>
        <w:t>1. Formål og leveransemodell</w:t>
      </w:r>
    </w:p>
    <w:p>
      <w:r>
        <w:t>Kvitsøy kommune ønsker en rammeavtale som gir enkel tilgang til bred konsulentkompetanse gjennom én hovedleverandør som er kommunens kontraktspart. Hovedleverandøren skal fungere som ett samlet kontaktpunkt og ta ansvar for å forstå behovet, foreslå riktig kompetanse, koordinere egne ressurser og underleverandører og følge opp oppdraget fra bestilling til avslutning.</w:t>
      </w:r>
    </w:p>
    <w:p>
      <w:r>
        <w:t>Kommunen skal ikke være prosjektleder for leverandørens interne organisering. Leverandøren skal over tid bygge opp og vedlikeholde relevant kjennskap til kommunen, kommunens planer, prosjekter, organisasjon og tidligere leveranser når dette er relevant for nye oppdrag.</w:t>
      </w:r>
    </w:p>
    <w:p>
      <w:pPr>
        <w:pStyle w:val="Heading1"/>
      </w:pPr>
      <w:r>
        <w:t>2. Hovedområder</w:t>
      </w:r>
    </w:p>
    <w:p>
      <w:pPr>
        <w:pStyle w:val="Heading2"/>
      </w:pPr>
      <w:r>
        <w:t>2.1 Planlegging, samfunnsutvikling og analyse</w:t>
      </w:r>
    </w:p>
    <w:p>
      <w:pPr>
        <w:pStyle w:val="ListBullet"/>
      </w:pPr>
      <w:r>
        <w:t>kommuneplan, kommunedelplan, områdeplan og detaljregulering</w:t>
      </w:r>
    </w:p>
    <w:p>
      <w:pPr>
        <w:pStyle w:val="ListBullet"/>
      </w:pPr>
      <w:r>
        <w:t>planfaglige vurderinger, konsekvensutredninger og ROS analyser</w:t>
      </w:r>
    </w:p>
    <w:p>
      <w:pPr>
        <w:pStyle w:val="ListBullet"/>
      </w:pPr>
      <w:r>
        <w:t>mulighetsstudier, konseptutredninger og stedsutvikling</w:t>
      </w:r>
    </w:p>
    <w:p>
      <w:pPr>
        <w:pStyle w:val="ListBullet"/>
      </w:pPr>
      <w:r>
        <w:t>samfunnsanalyser, næringsanalyser, behovsanalyser og beslutningsgrunnlag</w:t>
      </w:r>
    </w:p>
    <w:p>
      <w:pPr>
        <w:pStyle w:val="ListBullet"/>
      </w:pPr>
      <w:r>
        <w:t>medvirkning, prosessledelse og strategiarbeid</w:t>
      </w:r>
    </w:p>
    <w:p>
      <w:pPr/>
      <w:r>
        <w:t>Det vises til punkt 2.7 for kjente reguleringsplanoppdrag som forventes startet tidlig i avtaleperioden.</w:t>
      </w:r>
    </w:p>
    <w:p>
      <w:pPr>
        <w:pStyle w:val="Heading2"/>
      </w:pPr>
      <w:r>
        <w:t>2.2 Arkitektur, bygg og eiendom</w:t>
      </w:r>
    </w:p>
    <w:p>
      <w:pPr>
        <w:pStyle w:val="ListBullet"/>
      </w:pPr>
      <w:r>
        <w:t>arkitektur, landskap, skisseprosjekter og mulighetsstudier</w:t>
      </w:r>
    </w:p>
    <w:p>
      <w:pPr>
        <w:pStyle w:val="ListBullet"/>
      </w:pPr>
      <w:r>
        <w:t>tegninger, illustrasjonsplaner, 2D og 3D visualisering og BIM</w:t>
      </w:r>
    </w:p>
    <w:p>
      <w:pPr>
        <w:pStyle w:val="ListBullet"/>
      </w:pPr>
      <w:r>
        <w:t>universell utforming</w:t>
      </w:r>
    </w:p>
    <w:p>
      <w:pPr>
        <w:pStyle w:val="ListBullet"/>
      </w:pPr>
      <w:r>
        <w:t>konstruksjon, bygningsfysikk, brann, akustikk og energi</w:t>
      </w:r>
    </w:p>
    <w:p>
      <w:pPr>
        <w:pStyle w:val="ListBullet"/>
      </w:pPr>
      <w:r>
        <w:t>tilstandsanalyser og tilstandsrapporter, rehabilitering og ombygging</w:t>
      </w:r>
    </w:p>
    <w:p>
      <w:pPr>
        <w:pStyle w:val="ListBullet"/>
      </w:pPr>
      <w:r>
        <w:t>kostnadsoverslag, levetidsvurderinger og forvaltningsfaglige vurderinger</w:t>
      </w:r>
    </w:p>
    <w:p>
      <w:pPr>
        <w:pStyle w:val="ListBullet"/>
      </w:pPr>
      <w:r>
        <w:t>tekniske installasjoner, elektro, ventilasjon, varme og kjøling, automasjon og SD anlegg</w:t>
      </w:r>
    </w:p>
    <w:p>
      <w:pPr>
        <w:pStyle w:val="Heading2"/>
      </w:pPr>
      <w:r>
        <w:t>2.3 Kommunalteknikk og infrastruktur</w:t>
      </w:r>
    </w:p>
    <w:p>
      <w:pPr>
        <w:pStyle w:val="ListBullet"/>
      </w:pPr>
      <w:r>
        <w:t>vann, avløp og overvann, kapasitet, pumpestasjoner og klimatilpasning</w:t>
      </w:r>
    </w:p>
    <w:p>
      <w:pPr>
        <w:pStyle w:val="ListBullet"/>
      </w:pPr>
      <w:r>
        <w:t>veg, trafikk, trafikksikkerhet, parkering, gange og sykkel</w:t>
      </w:r>
    </w:p>
    <w:p>
      <w:pPr>
        <w:pStyle w:val="ListBullet"/>
      </w:pPr>
      <w:r>
        <w:t>vegbelysning, skilting og mobilitet</w:t>
      </w:r>
    </w:p>
    <w:p>
      <w:pPr>
        <w:pStyle w:val="ListBullet"/>
      </w:pPr>
      <w:r>
        <w:t>oppmåling, kart, GIS, terrengmodeller og arealanalyser</w:t>
      </w:r>
    </w:p>
    <w:p>
      <w:pPr>
        <w:pStyle w:val="Heading2"/>
      </w:pPr>
      <w:r>
        <w:t>2.4 Sjø, havn og maritime anlegg</w:t>
      </w:r>
    </w:p>
    <w:p>
      <w:pPr>
        <w:pStyle w:val="ListBullet"/>
      </w:pPr>
      <w:r>
        <w:t>havneplanlegging, kaier, moloer og maritime konstruksjoner</w:t>
      </w:r>
    </w:p>
    <w:p>
      <w:pPr>
        <w:pStyle w:val="ListBullet"/>
      </w:pPr>
      <w:r>
        <w:t>bølger, strøm, sjøbunn, dybdeforhold og kystsikring</w:t>
      </w:r>
    </w:p>
    <w:p>
      <w:pPr>
        <w:pStyle w:val="ListBullet"/>
      </w:pPr>
      <w:r>
        <w:t>mudring, utfylling i sjø og fortøyningsløsninger</w:t>
      </w:r>
    </w:p>
    <w:p>
      <w:pPr>
        <w:pStyle w:val="ListBullet"/>
      </w:pPr>
      <w:r>
        <w:t>maritim logistikk og havne og næringsarealer</w:t>
      </w:r>
    </w:p>
    <w:p>
      <w:pPr>
        <w:pStyle w:val="ListBullet"/>
      </w:pPr>
      <w:r>
        <w:t>utredninger og underlag for tillatelser knyttet til tiltak i sjø</w:t>
      </w:r>
    </w:p>
    <w:p>
      <w:pPr>
        <w:pStyle w:val="Heading2"/>
      </w:pPr>
      <w:r>
        <w:t>2.5 Miljø, natur, grunn og kulturmiljø</w:t>
      </w:r>
    </w:p>
    <w:p>
      <w:pPr>
        <w:pStyle w:val="ListBullet"/>
      </w:pPr>
      <w:r>
        <w:t>naturmangfold og naturkartlegging</w:t>
      </w:r>
    </w:p>
    <w:p>
      <w:pPr>
        <w:pStyle w:val="ListBullet"/>
      </w:pPr>
      <w:r>
        <w:t>marine miljøundersøkelser, forurensning, støy og luft</w:t>
      </w:r>
    </w:p>
    <w:p>
      <w:pPr>
        <w:pStyle w:val="ListBullet"/>
      </w:pPr>
      <w:r>
        <w:t>klimasårbarhet, klimatilpasning, energi og miljøfaglige vurderinger</w:t>
      </w:r>
    </w:p>
    <w:p>
      <w:pPr>
        <w:pStyle w:val="ListBullet"/>
      </w:pPr>
      <w:r>
        <w:t>geoteknikk, geologi, grunnundersøkelser, stabilitet og fundamentering</w:t>
      </w:r>
    </w:p>
    <w:p>
      <w:pPr>
        <w:pStyle w:val="ListBullet"/>
      </w:pPr>
      <w:r>
        <w:t>forurenset grunn, massehåndtering og radon</w:t>
      </w:r>
    </w:p>
    <w:p>
      <w:pPr>
        <w:pStyle w:val="ListBullet"/>
      </w:pPr>
      <w:r>
        <w:t>kulturmiljø, kulturminner, verneverdige bygg og kulturhistoriske vurderinger</w:t>
      </w:r>
    </w:p>
    <w:p>
      <w:pPr>
        <w:pStyle w:val="Heading2"/>
      </w:pPr>
      <w:r>
        <w:t>2.6 Prosjektledelse, byggeledelse og annen prosjektbistand</w:t>
      </w:r>
    </w:p>
    <w:p>
      <w:pPr>
        <w:pStyle w:val="ListBullet"/>
      </w:pPr>
      <w:r>
        <w:t>prosjektledelse og byggherrebistand</w:t>
      </w:r>
    </w:p>
    <w:p>
      <w:pPr>
        <w:pStyle w:val="ListBullet"/>
      </w:pPr>
      <w:r>
        <w:t>byggeledelse og prosjekteringsledelse</w:t>
      </w:r>
    </w:p>
    <w:p>
      <w:pPr>
        <w:pStyle w:val="ListBullet"/>
      </w:pPr>
      <w:r>
        <w:t>SHA koordinering der dette inngår i konsulentoppdraget</w:t>
      </w:r>
    </w:p>
    <w:p>
      <w:pPr>
        <w:pStyle w:val="ListBullet"/>
      </w:pPr>
      <w:r>
        <w:t>framdrift, kostnadsstyring, kvalitet og oppfølging av entreprenører</w:t>
      </w:r>
    </w:p>
    <w:p>
      <w:pPr>
        <w:pStyle w:val="ListBullet"/>
      </w:pPr>
      <w:r>
        <w:t>overtakelse, sluttoppfølging og reklamasjonsfase</w:t>
      </w:r>
    </w:p>
    <w:p>
      <w:pPr>
        <w:pStyle w:val="ListBullet"/>
      </w:pPr>
      <w:r>
        <w:t>teknisk utarbeidelse av konkurransegrunnlag, beskrivelser og teknisk tilbudsevaluering når dette er direkte knyttet til et prosjekt</w:t>
      </w:r>
    </w:p>
    <w:p>
      <w:r>
        <w:t>Listen over fag og oppdrag er eksempler. Rammeavtalen kan også brukes til andre nært tilknyttede rådgivningstjenester innenfor hovedområdene, når dette ligger innenfor anskaffelsens formål og kunngjorte omfang.</w:t>
      </w:r>
    </w:p>
    <w:p>
      <w:pPr>
        <w:pStyle w:val="Heading2"/>
      </w:pPr>
      <w:r>
        <w:t>2.7 Kjente planlagte oppdrag</w:t>
      </w:r>
    </w:p>
    <w:p>
      <w:pPr/>
      <w:r>
        <w:t>Kvitsøy kommune har ved kunngjøringen to større reguleringsplanprosesser som forventes startet tidlig i rammeavtalens periode. Opplysningene gis for å synliggjøre forventet aktivitet og behov for kapasitet i den første delen av avtaleperioden.</w:t>
      </w:r>
    </w:p>
    <w:tbl>
      <w:tblPr>
        <w:tblStyle w:val="TableGrid"/>
        <w:tblW w:type="auto" w:w="0"/>
        <w:tblLayout w:type="autofit"/>
        <w:tblLook w:firstColumn="1" w:firstRow="1" w:lastColumn="0" w:lastRow="0" w:noHBand="0" w:noVBand="1" w:val="04A0"/>
      </w:tblPr>
      <w:tblGrid>
        <w:gridCol w:w="4986"/>
        <w:gridCol w:w="4986"/>
      </w:tblGrid>
      <w:tr>
        <w:trPr>
          <w:tblHeader w:val="true"/>
          <w:cantSplit/>
        </w:trPr>
        <w:tc>
          <w:tcPr>
            <w:tcW w:type="dxa" w:w="4986"/>
          </w:tcPr>
          <w:p>
            <w:r>
              <w:t>Oppdrag</w:t>
            </w:r>
          </w:p>
        </w:tc>
        <w:tc>
          <w:tcPr>
            <w:tcW w:type="dxa" w:w="4986"/>
          </w:tcPr>
          <w:p>
            <w:r>
              <w:t>Forventet oppstart</w:t>
            </w:r>
          </w:p>
        </w:tc>
      </w:tr>
      <w:tr>
        <w:trPr>
          <w:cantSplit/>
        </w:trPr>
        <w:tc>
          <w:tcPr>
            <w:tcW w:type="dxa" w:w="4986"/>
          </w:tcPr>
          <w:p>
            <w:r>
              <w:t>Reguleringsplan for Ydstebøhavn</w:t>
            </w:r>
          </w:p>
        </w:tc>
        <w:tc>
          <w:tcPr>
            <w:tcW w:type="dxa" w:w="4986"/>
          </w:tcPr>
          <w:p>
            <w:r>
              <w:t>Oktober eller november 2026</w:t>
            </w:r>
          </w:p>
        </w:tc>
      </w:tr>
      <w:tr>
        <w:trPr>
          <w:cantSplit/>
        </w:trPr>
        <w:tc>
          <w:tcPr>
            <w:tcW w:type="dxa" w:w="4986"/>
          </w:tcPr>
          <w:p>
            <w:r>
              <w:t>Reguleringsplan for Krågøy</w:t>
            </w:r>
          </w:p>
        </w:tc>
        <w:tc>
          <w:tcPr>
            <w:tcW w:type="dxa" w:w="4986"/>
          </w:tcPr>
          <w:p>
            <w:r>
              <w:t>Januar eller februar 2027</w:t>
            </w:r>
          </w:p>
        </w:tc>
      </w:tr>
    </w:tbl>
    <w:p>
      <w:pPr/>
      <w:r>
        <w:t>Tidspunktene er foreløpige og kan bli endret, blant annet som følge av tidspunktet for kontraktsinngåelse og den videre planprosessen. Opplysningene innebærer ingen garanti for at oppdragene gjennomføres, for endelig omfang eller for omsetning under rammeavtalen. Oppdragene defineres nærmere gjennom de enkelte avropene.</w:t>
      </w:r>
    </w:p>
    <w:p>
      <w:pPr>
        <w:pStyle w:val="Heading1"/>
      </w:pPr>
      <w:r>
        <w:t>3. Tjenester som ikke omfattes</w:t>
      </w:r>
    </w:p>
    <w:p>
      <w:r>
        <w:t>Rammeavtalen omfatter ikke ordinære IT systemtjenester eller lisenser, juridiske tjenester, rekrutteringstjenester, arkivtjenester, kunstfaglige oppdrag, ordinære håndverks og entreprenørtjenester, vareleveranser eller generell innkjøpsjuridisk bistand. Dersom et oppdrag består av både rådgivning og andre ytelser, må kommunen vurdere hvilken anskaffelse som er hovedytelsen før avrop.</w:t>
      </w:r>
    </w:p>
    <w:p>
      <w:pPr>
        <w:pStyle w:val="Heading1"/>
      </w:pPr>
      <w:r>
        <w:t>4. Kompetanse, underleverandører og støtte fra andre virksomheter</w:t>
      </w:r>
    </w:p>
    <w:p>
      <w:r>
        <w:t>Hovedleverandøren skal gjennom hele avtaleperioden kunne levere relevant kompetanse innen alle seks hovedområder. Kompetansen kan finnes hos hovedleverandøren selv eller fremskaffes gjennom underleverandører. Leverandøren kan også støtte seg på andre virksomheters kapasitet for å oppfylle kvalifikasjonskrav når vilkårene i anskaffelsesregelverket er oppfylt. Det kreves ikke at alle fagområder finnes internt hos hovedleverandøren.</w:t>
      </w:r>
    </w:p>
    <w:p>
      <w:r>
        <w:t>Hovedleverandøren er fullt ansvarlig for underleverandørenes arbeid og for at alle kontraktsvilkår oppfylles. Hovedleverandøren skal koordinere leverandørkjeden og være kommunens kontraktsmessige motpart. Kommunen skal ikke ha ansvar for leverandørens interne koordinering og skal ikke motta faktura direkte fra underleverandører. Dersom kontrakten etter felles tilbud inngås med et leverandørfellesskap, gjelder kravene til én inngang, samlet koordinering og samlet fakturering tilsvarende.</w:t>
      </w:r>
    </w:p>
    <w:p>
      <w:r>
        <w:t>Avtalte priser og øvrige økonomiske vilkår gjelder uavhengig av om arbeidet utføres av hovedleverandøren eller underleverandør. Det kan ikke legges på særskilt administrasjonspåslag, formidlingspåslag eller tilsvarende. Kommunen skal motta én samlet faktura fra kontraktsparten eller den fakturerende enheten som er angitt i kontrakten.</w:t>
      </w:r>
    </w:p>
    <w:p>
      <w:pPr>
        <w:pStyle w:val="Heading1"/>
      </w:pPr>
      <w:r>
        <w:t>5. Fast kontaktpunkt og stedfortreder</w:t>
      </w:r>
    </w:p>
    <w:p>
      <w:r>
        <w:t>Leverandøren skal ha én fast avtaleansvarlig og én navngitt stedfortreder. Avtaleansvarlig skal være kommunens primære kontaktpunkt for alle forespørsler og ha tilstrekkelig myndighet til å koordinere ressurser og avklare oppstart. Ved fravær skal stedfortrederen kunne overta uten unødig opphold.</w:t>
      </w:r>
    </w:p>
    <w:p>
      <w:pPr>
        <w:pStyle w:val="Heading1"/>
      </w:pPr>
      <w:r>
        <w:t>6. Responstid og oppstart</w:t>
      </w:r>
    </w:p>
    <w:tbl>
      <w:tblPr>
        <w:tblStyle w:val="TableGrid"/>
        <w:tblW w:type="auto" w:w="0"/>
        <w:jc w:val="left"/>
        <w:tblLook w:firstColumn="1" w:firstRow="1" w:lastColumn="0" w:lastRow="0" w:noHBand="0" w:noVBand="1" w:val="04A0"/>
      </w:tblPr>
      <w:tblGrid>
        <w:gridCol w:w="4986"/>
        <w:gridCol w:w="4986"/>
      </w:tblGrid>
      <w:tr>
        <w:trPr>
          <w:tblHeader w:val="true"/>
          <w:cantSplit/>
        </w:trPr>
        <w:tc>
          <w:tcPr>
            <w:tcW w:type="dxa" w:w="6350"/>
            <w:shd w:fill="163A5F"/>
            <w:tcMar>
              <w:top w:w="90" w:type="dxa"/>
              <w:start w:w="90" w:type="dxa"/>
              <w:bottom w:w="90" w:type="dxa"/>
              <w:end w:w="90" w:type="dxa"/>
            </w:tcMar>
            <w:vAlign w:val="center"/>
          </w:tcPr>
          <w:p>
            <w:pPr>
              <w:spacing w:after="0"/>
            </w:pPr>
            <w:r>
              <w:rPr>
                <w:b/>
                <w:color w:val="FFFFFF"/>
                <w:sz w:val="18"/>
              </w:rPr>
              <w:t>Krav</w:t>
            </w:r>
          </w:p>
        </w:tc>
        <w:tc>
          <w:tcPr>
            <w:tcW w:type="dxa" w:w="2948"/>
            <w:shd w:fill="163A5F"/>
            <w:tcMar>
              <w:top w:w="90" w:type="dxa"/>
              <w:start w:w="90" w:type="dxa"/>
              <w:bottom w:w="90" w:type="dxa"/>
              <w:end w:w="90" w:type="dxa"/>
            </w:tcMar>
            <w:vAlign w:val="center"/>
          </w:tcPr>
          <w:p>
            <w:pPr>
              <w:spacing w:after="0"/>
            </w:pPr>
            <w:r>
              <w:rPr>
                <w:b/>
                <w:color w:val="FFFFFF"/>
                <w:sz w:val="18"/>
              </w:rPr>
              <w:t>Frist</w:t>
            </w:r>
          </w:p>
        </w:tc>
      </w:tr>
      <w:tr>
        <w:trPr>
          <w:cantSplit/>
        </w:trPr>
        <w:tc>
          <w:tcPr>
            <w:tcW w:type="dxa" w:w="6350"/>
            <w:tcMar>
              <w:top w:w="90" w:type="dxa"/>
              <w:start w:w="90" w:type="dxa"/>
              <w:bottom w:w="90" w:type="dxa"/>
              <w:end w:w="90" w:type="dxa"/>
            </w:tcMar>
            <w:vAlign w:val="top"/>
          </w:tcPr>
          <w:p>
            <w:pPr>
              <w:spacing w:after="0"/>
            </w:pPr>
            <w:r>
              <w:rPr>
                <w:sz w:val="18"/>
              </w:rPr>
              <w:t>Bekrefte mottak, angi videre håndtering og opplyse hvem som følger opp forespørselen.</w:t>
            </w:r>
          </w:p>
        </w:tc>
        <w:tc>
          <w:tcPr>
            <w:tcW w:type="dxa" w:w="2948"/>
            <w:tcMar>
              <w:top w:w="90" w:type="dxa"/>
              <w:start w:w="90" w:type="dxa"/>
              <w:bottom w:w="90" w:type="dxa"/>
              <w:end w:w="90" w:type="dxa"/>
            </w:tcMar>
            <w:vAlign w:val="top"/>
          </w:tcPr>
          <w:p>
            <w:pPr>
              <w:spacing w:after="0"/>
            </w:pPr>
            <w:r>
              <w:rPr>
                <w:sz w:val="18"/>
              </w:rPr>
              <w:t>Senest 5 virkedager etter at forespørselen er mottatt.</w:t>
            </w:r>
          </w:p>
        </w:tc>
      </w:tr>
      <w:tr>
        <w:trPr>
          <w:cantSplit/>
        </w:trPr>
        <w:tc>
          <w:tcPr>
            <w:tcW w:type="dxa" w:w="6350"/>
            <w:tcMar>
              <w:top w:w="90" w:type="dxa"/>
              <w:start w:w="90" w:type="dxa"/>
              <w:bottom w:w="90" w:type="dxa"/>
              <w:end w:w="90" w:type="dxa"/>
            </w:tcMar>
            <w:vAlign w:val="top"/>
          </w:tcPr>
          <w:p>
            <w:pPr>
              <w:spacing w:after="0"/>
            </w:pPr>
            <w:r>
              <w:rPr>
                <w:sz w:val="18"/>
              </w:rPr>
              <w:t>Starte gjennomføringen av oppdraget.</w:t>
            </w:r>
          </w:p>
        </w:tc>
        <w:tc>
          <w:tcPr>
            <w:tcW w:type="dxa" w:w="2948"/>
            <w:tcMar>
              <w:top w:w="90" w:type="dxa"/>
              <w:start w:w="90" w:type="dxa"/>
              <w:bottom w:w="90" w:type="dxa"/>
              <w:end w:w="90" w:type="dxa"/>
            </w:tcMar>
            <w:vAlign w:val="top"/>
          </w:tcPr>
          <w:p>
            <w:pPr>
              <w:spacing w:after="0"/>
            </w:pPr>
            <w:r>
              <w:rPr>
                <w:sz w:val="18"/>
              </w:rPr>
              <w:t>Senest 10 virkedager etter at forespørselen er mottatt, med mindre annet er skriftlig avtalt for oppdraget.</w:t>
            </w:r>
          </w:p>
        </w:tc>
      </w:tr>
    </w:tbl>
    <w:p>
      <w:pPr>
        <w:spacing w:after="0"/>
      </w:pPr>
    </w:p>
    <w:p>
      <w:r>
        <w:t>Dersom leverandøren ikke kan starte innen fristen og kommunen ikke godkjenner en annen oppstart, kan kommunen anskaffe den aktuelle bistanden fra annen leverandør. En slik anskaffelse skal gjennomføres i samsvar med anskaffelsesregelverket og anses ikke som brudd på rammeavtalen.</w:t>
      </w:r>
    </w:p>
    <w:p>
      <w:pPr>
        <w:pStyle w:val="Heading1"/>
      </w:pPr>
      <w:r>
        <w:t>7. Avrop og oppdragsavklaring</w:t>
      </w:r>
    </w:p>
    <w:p>
      <w:r>
        <w:t>Kommunen sender en kort skriftlig forespørsel til avtaleansvarlig. Leverandøren skal før oppstart avklare oppdragets innhold og, når det er relevant, foreslå personell, planlagt oppstart, framdrift, estimert timebruk og økonomisk ramme. Oppdraget skal ikke utvides utover avtalt ramme uten skriftlig godkjenning fra kommunen.</w:t>
      </w:r>
    </w:p>
    <w:p>
      <w:r>
        <w:t>Avrop gjennomføres ved bruk av dokument 06 Avropsskjema eller annen skriftlig bestilling som inneholder tilsvarende opplysninger.</w:t>
      </w:r>
    </w:p>
    <w:p>
      <w:r>
        <w:t>Ved avrop skal de ressursene eller arbeidsstrømmene som skal benyttes knyttes til relevant hovedområde i prisskjemaet. Dersom et oppdrag omfatter flere hovedområder, skal dette avklares i avropet slik at det er tydelig hvilken timepris som gjelder for det enkelte arbeidet.</w:t>
      </w:r>
    </w:p>
    <w:p>
      <w:pPr>
        <w:pStyle w:val="Heading1"/>
      </w:pPr>
      <w:r>
        <w:t>8. Kontraktsgrunnlag for det enkelte oppdrag</w:t>
      </w:r>
    </w:p>
    <w:p>
      <w:r>
        <w:t>Oppdrag etter rammeavtalen godtgjøres etter medgått tid. For generell konsulentbistand, analyse, planarbeid, prosessbistand og annen bistand som styres av kommunen, benyttes SSA-B 2026 med relevante bilag. For rådgivningsoppdrag med tilknytning til bygg og anlegg benyttes NS 8402:2010. Det enkelte avropet skal angi hvilket kontraktsgrunnlag som gjelder.</w:t>
      </w:r>
    </w:p>
    <w:p>
      <w:pPr>
        <w:pStyle w:val="Heading1"/>
      </w:pPr>
      <w:r>
        <w:t>9. Rapportering, økonomi og kvalitet</w:t>
      </w:r>
    </w:p>
    <w:p>
      <w:pPr>
        <w:pStyle w:val="ListBullet"/>
      </w:pPr>
      <w:r>
        <w:t>Leverandøren skal varsle tidlig dersom estimert timebruk, økonomisk ramme eller avtalt framdrift står i fare for å bli overskredet.</w:t>
      </w:r>
    </w:p>
    <w:p>
      <w:pPr>
        <w:pStyle w:val="ListBullet"/>
      </w:pPr>
      <w:r>
        <w:t>Timelister og fakturagrunnlag skal kunne knyttes til navngitt person, personellkategori, dato og aktuelt oppdrag.</w:t>
      </w:r>
    </w:p>
    <w:p>
      <w:pPr>
        <w:pStyle w:val="ListBullet"/>
      </w:pPr>
      <w:r>
        <w:t>Leverandøren skal benytte personell med riktig kompetansenivå og tilstrebe kostnadseffektiv bemanning.</w:t>
      </w:r>
    </w:p>
    <w:p>
      <w:pPr>
        <w:pStyle w:val="ListBullet"/>
      </w:pPr>
      <w:r>
        <w:t>Leverandøren skal sikre faglig kvalitetssikring av leveransene og kunne beskrive hvordan kvalitetssikringen er gjennomført når kommunen ber om det.</w:t>
      </w:r>
    </w:p>
    <w:p>
      <w:pPr>
        <w:pStyle w:val="ListBullet"/>
      </w:pPr>
      <w:r>
        <w:t>Relevant dokumentasjon og arbeidsgrunnlag skal overleveres kommunen i åpne og anvendelige formater når dette er naturlig for oppdraget.</w:t>
      </w:r>
    </w:p>
    <w:p>
      <w:pPr>
        <w:pStyle w:val="Heading1"/>
        <w:pageBreakBefore/>
      </w:pPr>
      <w:r>
        <w:t>10. Reise, møter og digital samhandling</w:t>
      </w:r>
    </w:p>
    <w:p>
      <w:r>
        <w:t>Ordinær reisetid og ordinære reisekostnader til og fra Kvitsøy og i Stavangerregionen skal være inkludert i timeprisene og kan ikke faktureres særskilt. Ferjereisen til Kvitsøy er kostnadsfri, og arbeid kan utføres under overfarten.</w:t>
      </w:r>
    </w:p>
    <w:p>
      <w:r>
        <w:t>Ekstraordinær reise utenfor dette kan bare faktureres dersom kommunens kontaktperson skriftlig har godkjent reisen og kostnadsprinsippene på forhånd. Godkjente dokumenterte reise og diettkostnader kan dekkes etter statens satser dersom dette er uttrykkelig avtalt.</w:t>
      </w:r>
    </w:p>
    <w:p>
      <w:r>
        <w:t>Kommunen kan be om digitale møter når fysisk oppmøte ikke er nødvendig. Behovet for fysisk befaring eller møte vurderes ut fra oppdragets karakter.</w:t>
      </w:r>
    </w:p>
    <w:p>
      <w:pPr>
        <w:pStyle w:val="Heading1"/>
      </w:pPr>
      <w:r>
        <w:t>11. Språk</w:t>
      </w:r>
    </w:p>
    <w:p>
      <w:r>
        <w:t>Kommunikasjon med kommunen og leveranser skal være på norsk, med mindre annet avtales for det enkelte oppdraget.</w:t>
      </w:r>
    </w:p>
    <w:p>
      <w:pPr>
        <w:pStyle w:val="Heading1"/>
      </w:pPr>
      <w:r>
        <w:t>12. Personvern og informasjonssikkerhet</w:t>
      </w:r>
    </w:p>
    <w:p>
      <w:r>
        <w:t>Dersom et oppdrag innebærer behandling av personopplysninger på vegne av kommunen, skal nødvendig databehandleravtale være inngått før behandlingen starter. Leverandøren skal følge kommunens relevante krav til informasjonssikkerhet og taushetsplikt.</w:t>
      </w:r>
    </w:p>
    <w:sectPr w:rsidR="00FC693F" w:rsidRPr="0006063C" w:rsidSect="00034616">
      <w:headerReference w:type="default" r:id="rId9"/>
      <w:footerReference w:type="default" r:id="rId10"/>
      <w:headerReference w:type="first" r:id="rId11"/>
      <w:footerReference w:type="first" r:id="rId12"/>
      <w:headerReference w:type="even" r:id="rId13"/>
      <w:footerReference w:type="even" r:id="rId14"/>
      <w:pgSz w:w="12240" w:h="15840"/>
      <w:pgMar w:top="1020" w:right="1134" w:bottom="96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center"/>
    </w:pPr>
    <w:r>
      <w:t>Konkurransedokument  |  Utkast 14. september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jc w:val="right"/>
    </w:pPr>
    <w:r>
      <w:t>KVITSØY KOMMUNE  |  RAMMEAVTALE KONSULENTTJENESTER</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rial" w:hAnsi="Arial"/>
      <w:b/>
      <w:bCs/>
      <w:color w:val="163A5F"/>
      <w:sz w:val="30"/>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rial" w:hAnsi="Arial"/>
      <w:b/>
      <w:bCs/>
      <w:color w:val="163A5F"/>
      <w:sz w:val="24"/>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rial" w:hAnsi="Arial"/>
      <w:b/>
      <w:bCs/>
      <w:color w:val="163A5F"/>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0"/>
      <w:contextualSpacing/>
    </w:pPr>
    <w:rPr>
      <w:rFonts w:asciiTheme="majorHAnsi" w:eastAsiaTheme="majorEastAsia" w:hAnsiTheme="majorHAnsi" w:cstheme="majorBidi" w:ascii="Arial" w:hAnsi="Arial"/>
      <w:b/>
      <w:color w:val="163A5F"/>
      <w:spacing w:val="5"/>
      <w:kern w:val="28"/>
      <w:sz w:val="4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
    <w:name w:val="Small"/>
    <w:pPr>
      <w:spacing w:after="60"/>
    </w:pPr>
    <w:rPr>
      <w:rFonts w:ascii="Arial" w:hAnsi="Arial"/>
      <w:color w:val="5B6573"/>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