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Title"/>
      </w:pPr>
      <w:r>
        <w:t>Rammeavtale og spesielle kontraktsvilkår</w:t>
      </w:r>
    </w:p>
    <w:p>
      <w:pPr>
        <w:pStyle w:val="Small"/>
      </w:pPr>
      <w:r>
        <w:t>UTKAST VERSJON 3  |  14. september 2026</w:t>
      </w:r>
    </w:p>
    <w:tbl>
      <w:tblPr>
        <w:tblW w:type="auto" w:w="0"/>
        <w:jc w:val="left"/>
        <w:tblLayout w:type="autofit"/>
        <w:tblLook w:firstColumn="1" w:firstRow="1" w:lastColumn="0" w:lastRow="0" w:noHBand="0" w:noVBand="1" w:val="04A0"/>
      </w:tblPr>
      <w:tblGrid>
        <w:gridCol w:w="9972"/>
      </w:tblGrid>
      <w:tr>
        <w:trPr>
          <w:cantSplit/>
        </w:trPr>
        <w:tc>
          <w:tcPr>
            <w:tcW w:type="dxa" w:w="9972"/>
            <w:shd w:fill="E9EFF5"/>
            <w:tcMar>
              <w:top w:w="100" w:type="dxa"/>
              <w:start w:w="120" w:type="dxa"/>
              <w:bottom w:w="100" w:type="dxa"/>
              <w:end w:w="120" w:type="dxa"/>
            </w:tcMar>
          </w:tcPr>
          <w:p>
            <w:pPr>
              <w:spacing w:after="0"/>
            </w:pPr>
            <w:r>
              <w:rPr>
                <w:b/>
                <w:sz w:val="18"/>
              </w:rPr>
              <w:t>Utkast til rammeavtale. Offisiell SSA-B 2026 og NS 8402:2010 må brukes som underliggende kontraktsgrunnlag for de avropene der de gjelder.</w:t>
            </w:r>
          </w:p>
        </w:tc>
      </w:tr>
    </w:tbl>
    <w:p>
      <w:pPr>
        <w:spacing w:after="0"/>
      </w:pPr>
    </w:p>
    <w:p>
      <w:pPr>
        <w:pStyle w:val="Heading1"/>
      </w:pPr>
      <w:r>
        <w:t>1. Parter</w:t>
      </w:r>
    </w:p>
    <w:tbl>
      <w:tblPr>
        <w:tblStyle w:val="TableGrid"/>
        <w:tblW w:type="auto" w:w="0"/>
        <w:jc w:val="left"/>
        <w:tblLook w:firstColumn="1" w:firstRow="1" w:lastColumn="0" w:lastRow="0" w:noHBand="0" w:noVBand="1" w:val="04A0"/>
      </w:tblPr>
      <w:tblGrid>
        <w:gridCol w:w="4986"/>
        <w:gridCol w:w="4986"/>
      </w:tblGrid>
      <w:tr>
        <w:trPr>
          <w:tblHeader w:val="true"/>
          <w:cantSplit/>
        </w:trPr>
        <w:tc>
          <w:tcPr>
            <w:tcW w:type="dxa" w:w="2494"/>
            <w:shd w:fill="163A5F"/>
            <w:tcMar>
              <w:top w:w="90" w:type="dxa"/>
              <w:start w:w="90" w:type="dxa"/>
              <w:bottom w:w="90" w:type="dxa"/>
              <w:end w:w="90" w:type="dxa"/>
            </w:tcMar>
            <w:vAlign w:val="center"/>
          </w:tcPr>
          <w:p>
            <w:pPr>
              <w:spacing w:after="0"/>
            </w:pPr>
            <w:r>
              <w:rPr>
                <w:b/>
                <w:color w:val="FFFFFF"/>
                <w:sz w:val="18"/>
              </w:rPr>
              <w:t>Part</w:t>
            </w:r>
          </w:p>
        </w:tc>
        <w:tc>
          <w:tcPr>
            <w:tcW w:type="dxa" w:w="6803"/>
            <w:shd w:fill="163A5F"/>
            <w:tcMar>
              <w:top w:w="90" w:type="dxa"/>
              <w:start w:w="90" w:type="dxa"/>
              <w:bottom w:w="90" w:type="dxa"/>
              <w:end w:w="90" w:type="dxa"/>
            </w:tcMar>
            <w:vAlign w:val="center"/>
          </w:tcPr>
          <w:p>
            <w:pPr>
              <w:spacing w:after="0"/>
            </w:pPr>
            <w:r>
              <w:rPr>
                <w:b/>
                <w:color w:val="FFFFFF"/>
                <w:sz w:val="18"/>
              </w:rPr>
              <w:t>Opplysninger</w:t>
            </w:r>
          </w:p>
        </w:tc>
      </w:tr>
      <w:tr>
        <w:trPr>
          <w:cantSplit/>
        </w:trPr>
        <w:tc>
          <w:tcPr>
            <w:tcW w:type="dxa" w:w="2494"/>
            <w:tcMar>
              <w:top w:w="90" w:type="dxa"/>
              <w:start w:w="90" w:type="dxa"/>
              <w:bottom w:w="90" w:type="dxa"/>
              <w:end w:w="90" w:type="dxa"/>
            </w:tcMar>
            <w:vAlign w:val="top"/>
          </w:tcPr>
          <w:p>
            <w:pPr>
              <w:spacing w:after="0"/>
            </w:pPr>
            <w:r>
              <w:rPr>
                <w:sz w:val="18"/>
              </w:rPr>
              <w:t>Oppdragsgiver</w:t>
            </w:r>
          </w:p>
        </w:tc>
        <w:tc>
          <w:tcPr>
            <w:tcW w:type="dxa" w:w="6803"/>
            <w:tcMar>
              <w:top w:w="90" w:type="dxa"/>
              <w:start w:w="90" w:type="dxa"/>
              <w:bottom w:w="90" w:type="dxa"/>
              <w:end w:w="90" w:type="dxa"/>
            </w:tcMar>
            <w:vAlign w:val="top"/>
          </w:tcPr>
          <w:p>
            <w:pPr>
              <w:spacing w:after="0"/>
            </w:pPr>
            <w:r>
              <w:rPr>
                <w:sz w:val="18"/>
              </w:rPr>
              <w:t>Kvitsøy kommune, org.nr. [fylles inn]</w:t>
            </w:r>
          </w:p>
        </w:tc>
      </w:tr>
      <w:tr>
        <w:trPr>
          <w:cantSplit/>
        </w:trPr>
        <w:tc>
          <w:tcPr>
            <w:tcW w:type="dxa" w:w="2494"/>
            <w:tcMar>
              <w:top w:w="90" w:type="dxa"/>
              <w:start w:w="90" w:type="dxa"/>
              <w:bottom w:w="90" w:type="dxa"/>
              <w:end w:w="90" w:type="dxa"/>
            </w:tcMar>
            <w:vAlign w:val="top"/>
          </w:tcPr>
          <w:p>
            <w:r>
              <w:t>Leverandør</w:t>
            </w:r>
          </w:p>
        </w:tc>
        <w:tc>
          <w:tcPr>
            <w:tcW w:type="dxa" w:w="6803"/>
            <w:tcMar>
              <w:top w:w="90" w:type="dxa"/>
              <w:start w:w="90" w:type="dxa"/>
              <w:bottom w:w="90" w:type="dxa"/>
              <w:end w:w="90" w:type="dxa"/>
            </w:tcMar>
            <w:vAlign w:val="top"/>
          </w:tcPr>
          <w:p>
            <w:r>
              <w:t>[navn og org.nr. fylles inn etter tildeling]</w:t>
            </w:r>
          </w:p>
        </w:tc>
      </w:tr>
      <w:tr>
        <w:trPr>
          <w:cantSplit/>
        </w:trPr>
        <w:tc>
          <w:tcPr>
            <w:tcW w:type="dxa" w:w="4986"/>
          </w:tcPr>
          <w:p>
            <w:r>
              <w:t>Utpekt representant</w:t>
            </w:r>
          </w:p>
        </w:tc>
        <w:tc>
          <w:tcPr>
            <w:tcW w:type="dxa" w:w="4986"/>
          </w:tcPr>
          <w:p>
            <w:r>
              <w:t>[fylles inn dersom felles tilbud]</w:t>
            </w:r>
          </w:p>
        </w:tc>
      </w:tr>
      <w:tr>
        <w:trPr>
          <w:cantSplit/>
        </w:trPr>
        <w:tc>
          <w:tcPr>
            <w:tcW w:type="dxa" w:w="4986"/>
          </w:tcPr>
          <w:p>
            <w:r>
              <w:t>Fakturerende enhet</w:t>
            </w:r>
          </w:p>
        </w:tc>
        <w:tc>
          <w:tcPr>
            <w:tcW w:type="dxa" w:w="4986"/>
          </w:tcPr>
          <w:p>
            <w:r>
              <w:t>[fylles inn dersom annen enn leverandøren]</w:t>
            </w:r>
          </w:p>
        </w:tc>
      </w:tr>
    </w:tbl>
    <w:p>
      <w:pPr>
        <w:spacing w:after="0"/>
      </w:pPr>
    </w:p>
    <w:p>
      <w:pPr>
        <w:pStyle w:val="Heading1"/>
      </w:pPr>
      <w:r>
        <w:t>2. Formål og omfang</w:t>
      </w:r>
    </w:p>
    <w:p>
      <w:r>
        <w:t>Rammeavtalen gjelder konsulenttjenestene som fremgår av konkurransegrunnlaget og oppdragsbeskrivelsen. Avtalen bygger på at leverandøren er kommunens hovedleverandør og kontraktspart med samlet ansvar for leveransen.</w:t>
      </w:r>
    </w:p>
    <w:p>
      <w:pPr>
        <w:pStyle w:val="Heading2"/>
      </w:pPr>
      <w:r>
        <w:t>2.1 Leveransemodell</w:t>
      </w:r>
    </w:p>
    <w:p>
      <w:pPr/>
      <w:r>
        <w:t>Leverandøren kan benytte underleverandører og, når dette er relevant, andre virksomheter som leverandøren råder over. Leverandøren har samlet ansvar overfor Kvitsøy kommune for koordinering, kvalitet, framdrift, økonomi og fakturering. Dersom kontrakten er inngått etter et felles tilbud fra flere leverandører, skal fellesskapet ha én utpekt representant, én avtaleansvarlig og én fakturerende enhet og opptre samlet overfor kommunen.</w:t>
      </w:r>
    </w:p>
    <w:p>
      <w:pPr>
        <w:pStyle w:val="Heading1"/>
      </w:pPr>
      <w:r>
        <w:t>3. Varighet og opsjoner</w:t>
      </w:r>
    </w:p>
    <w:p>
      <w:r>
        <w:t>Avtalen gjelder i 2 år fra avtalt oppstart. Kvitsøy kommune har ensidig rett til å forlenge avtalen med 1 år og deretter ytterligere 1 år. Opsjoner skal varsles skriftlig senest 3 måneder før gjeldende avtaleperiode utløper, med mindre partene avtaler noe annet.</w:t>
      </w:r>
    </w:p>
    <w:p>
      <w:pPr>
        <w:pStyle w:val="Heading1"/>
      </w:pPr>
      <w:r>
        <w:t>4. Verdi og uttak</w:t>
      </w:r>
    </w:p>
    <w:p>
      <w:r>
        <w:t>Estimert samlet verdi for maksimal avtaleperiode er 11 000 000 kroner ekskl. mva. Maksimal samlet verdi er 14 000 000 kroner ekskl. mva. Oppgitte verdier innebærer ingen kjøpsplikt eller garanti for omsetning. Når maksimalverdien er nådd, kan det ikke foretas nye avrop på rammeavtalen.</w:t>
      </w:r>
    </w:p>
    <w:p>
      <w:pPr>
        <w:pStyle w:val="Heading1"/>
      </w:pPr>
      <w:r>
        <w:t>5. Dokumenthierarki</w:t>
      </w:r>
    </w:p>
    <w:p>
      <w:r>
        <w:t>Ved motstrid gjelder dokumentene i følgende rekkefølge, med mindre annet uttrykkelig fremgår av avropet:</w:t>
      </w:r>
    </w:p>
    <w:p>
      <w:pPr>
        <w:pStyle w:val="ListNumber"/>
      </w:pPr>
      <w:r>
        <w:t>Det enkelte skriftlige avropet, men bare for forhold som lovlig kan presiseres innenfor rammeavtalens vilkår.</w:t>
      </w:r>
    </w:p>
    <w:p>
      <w:pPr>
        <w:pStyle w:val="ListNumber"/>
      </w:pPr>
      <w:r>
        <w:t>Denne rammeavtalen og spesielle kontraktsvilkår.</w:t>
      </w:r>
    </w:p>
    <w:p>
      <w:pPr>
        <w:pStyle w:val="ListNumber"/>
      </w:pPr>
      <w:r>
        <w:t>Oppdragsbeskrivelse og kravspesifikasjon.</w:t>
      </w:r>
    </w:p>
    <w:p>
      <w:pPr>
        <w:pStyle w:val="ListNumber"/>
      </w:pPr>
      <w:r>
        <w:t>Prisskjema og øvrige deler av leverandørens tilbud.</w:t>
      </w:r>
    </w:p>
    <w:p>
      <w:pPr>
        <w:pStyle w:val="ListNumber"/>
      </w:pPr>
      <w:r>
        <w:t>For avrop under SSA-B: gjeldende SSA-B 2026 med avtalte bilag.</w:t>
      </w:r>
    </w:p>
    <w:p>
      <w:pPr>
        <w:pStyle w:val="ListNumber"/>
      </w:pPr>
      <w:r>
        <w:t>For avrop under NS 8402: NS 8402:2010.</w:t>
      </w:r>
    </w:p>
    <w:p>
      <w:r>
        <w:t>Avrop kan ikke gjøre vesentlige endringer i rammeavtalens vilkår.</w:t>
      </w:r>
    </w:p>
    <w:p>
      <w:pPr>
        <w:pStyle w:val="Heading1"/>
      </w:pPr>
      <w:r>
        <w:t>6. Avrop</w:t>
      </w:r>
    </w:p>
    <w:p>
      <w:r>
        <w:t>Avrop foretas skriftlig. Kommunen beskriver behovet. Leverandøren skal ved behov utfylle forespørselen med foreslått bemanning, kontraktsgrunnlag, oppstart, framdrift, estimert timebruk og økonomisk ramme. Arbeid starter etter skriftlig bestilling eller annen uttrykkelig godkjenning fra kommunen.</w:t>
      </w:r>
    </w:p>
    <w:p>
      <w:pPr>
        <w:pStyle w:val="Heading1"/>
      </w:pPr>
      <w:r>
        <w:t>7. Kontraktsgrunnlag per avrop</w:t>
      </w:r>
    </w:p>
    <w:p>
      <w:r>
        <w:t>SSA-B 2026 brukes for generell konsulentbistand som styres av kommunen, herunder planarbeid, analyse, prosess og kapasitetsbistand når dette passer med avtalens formål. NS 8402:2010 brukes for rådgivningsoppdrag med tilknytning til bygg og anlegg som honoreres etter medgått tid. Avropet skal angi hvilket kontraktsgrunnlag som gjelder.</w:t>
      </w:r>
    </w:p>
    <w:p>
      <w:pPr>
        <w:pStyle w:val="Heading1"/>
      </w:pPr>
      <w:r>
        <w:t>8. Avtaleansvarlig, responstid og oppstart</w:t>
      </w:r>
    </w:p>
    <w:p>
      <w:r>
        <w:t>Leverandøren skal ha én fast avtaleansvarlig og én stedfortreder. Leverandøren skal senest 5 virkedager etter mottatt forespørsel bekrefte mottak, opplyse om videre håndtering og angi hvem som følger opp. Oppdraget skal starte senest 10 virkedager etter mottatt forespørsel, med mindre annet er skriftlig avtalt.</w:t>
      </w:r>
    </w:p>
    <w:p>
      <w:r>
        <w:t>Dersom leverandøren ikke kan starte innen fristen og kommunen ikke godkjenner annen oppstart, kan kommunen anskaffe den aktuelle bistanden fra annen leverandør. Dette anses ikke som brudd på rammeavtalen.</w:t>
      </w:r>
    </w:p>
    <w:p>
      <w:pPr>
        <w:pStyle w:val="Heading1"/>
      </w:pPr>
      <w:r>
        <w:t>9. Underleverandører og andre virksomheter</w:t>
      </w:r>
    </w:p>
    <w:p>
      <w:r>
        <w:t>Leverandøren kan benytte underleverandører for å dekke fagområder og kapasitet. Leverandøren har fullt ansvar for underleverandørenes leveranser, kvalitet, framdrift, pris og kontraktsoppfyllelse. Kommunen skal ikke koordinere underleverandørene og skal ikke motta faktura fra dem. Dersom leverandøren i tilbudet har støttet seg på andre virksomheters kapasitet for å oppfylle kvalifikasjonskrav, skal de ressursene leverandøren har forpliktet seg til å råde over være tilgjengelige i samsvar med tilbudet og konkurransegrunnlaget.</w:t>
      </w:r>
    </w:p>
    <w:p>
      <w:r>
        <w:t>De samme avtalte prisene, reisevilkårene og øvrige kontraktsvilkårene gjelder når underleverandører benyttes. Det kan ikke beregnes særskilt påslag for bruk eller administrasjon av underleverandører. Vesentlige endringer i leverandørkjeden eller i ressurser som var en forutsetning for kvalifikasjon eller tildeling, skal varsles kommunen skriftlig og kan kreve godkjenning etter anskaffelsesregelverket og kontrakten.</w:t>
      </w:r>
    </w:p>
    <w:p>
      <w:pPr>
        <w:pStyle w:val="Heading1"/>
      </w:pPr>
      <w:r>
        <w:t>10. Priser og personellkategorier</w:t>
      </w:r>
    </w:p>
    <w:p>
      <w:r>
        <w:t>Avtalte timepriser fremgår av prisskjemaet og er ekskl. mva. Det er avtalt junior og seniorpris innen hvert av de seks hovedområdene. Junior er personell med 0 til 4 års relevant erfaring. Senior er personell med 5 års relevant erfaring eller mer. Alle personer som arbeider på avtalen skal faktureres som junior eller senior innen det hovedområdet arbeidet tilhører. Det kan ikke benyttes egne høyere satser for eksempelvis partner, fagansvarlig, spesialist eller oppdragsleder.</w:t>
      </w:r>
    </w:p>
    <w:p>
      <w:r>
        <w:t>Ved hvert avrop skal personell eller arbeidsstrømmer knyttes til relevant hovedområde. Dersom et oppdrag omfatter flere hovedområder, skal prisområdet for de ulike delene av arbeidet avklares før oppstart. Timeprisene skal dekke alle ordinære kostnader ved levering av tjenesten, inkludert kontordrift, administrasjon, koordinering av underleverandører og ordinære lokale reiser.</w:t>
      </w:r>
    </w:p>
    <w:p>
      <w:pPr>
        <w:pStyle w:val="Heading1"/>
      </w:pPr>
      <w:r>
        <w:t>11. Reise og reisekostnader</w:t>
      </w:r>
    </w:p>
    <w:p>
      <w:r>
        <w:t>Ordinær reisetid og ordinære reisekostnader til og fra Kvitsøy og i Stavangerregionen inngår i timeprisene og kan ikke faktureres særskilt.</w:t>
      </w:r>
    </w:p>
    <w:p>
      <w:r>
        <w:t>Ekstraordinær reise kan bare faktureres dersom kommunens kontaktperson på forhånd skriftlig har godkjent både reisen og hvordan kostnaden skal beregnes. Dersom dokumenterte reise og diettkostnader skal refunderes, brukes statens satser med mindre annet er avtalt skriftlig.</w:t>
      </w:r>
    </w:p>
    <w:p>
      <w:pPr>
        <w:pStyle w:val="Heading1"/>
      </w:pPr>
      <w:r>
        <w:t>12. Prisregulering</w:t>
      </w:r>
    </w:p>
    <w:p>
      <w:r>
        <w:t>Prisene er faste de første 12 månedene fra avtaleoppstart. Deretter kan de reguleres én gang per 12 måneder etter utviklingen i Statistisk sentralbyrås arbeidskraftkostnadsindeks, Statistikkbanken tabell 07251, indeks for totale arbeidskraftkostnader, næringshovedområdet Faglig, vitenskapelig og teknisk tjenesteyting.</w:t>
      </w:r>
    </w:p>
    <w:p>
      <w:r>
        <w:t>Ved første regulering brukes publisert indeks for kvartalet som inneholder tilbudsfristen som basisindeks og publisert indeks for tilsvarende kvartal året etter som ny indeks. Ny pris beregnes som gjeldende pris multiplisert med ny indeks og dividert med tidligere indeks. Senere reguleringer gjennomføres etter samme prinsipp med ett års intervall. Dersom indeksen opphører, brukes nærmeste tilsvarende offisielle indeks. Senere revisjoner av allerede publiserte indekstall gir ikke grunnlag for etteroppgjør.</w:t>
      </w:r>
    </w:p>
    <w:p>
      <w:pPr>
        <w:pStyle w:val="Heading1"/>
      </w:pPr>
      <w:r>
        <w:t>13. Kostnadskontroll</w:t>
      </w:r>
    </w:p>
    <w:p>
      <w:r>
        <w:t>Leverandøren skal følge avtalt økonomisk ramme for det enkelte avrop. Dersom leverandøren ser at estimert timebruk eller økonomisk ramme kan bli overskredet, skal kommunen varsles skriftlig så tidlig som mulig. Arbeid utover avtalt kostnadsramme krever skriftlig godkjenning fra kommunen.</w:t>
      </w:r>
    </w:p>
    <w:p>
      <w:pPr>
        <w:pStyle w:val="Heading1"/>
      </w:pPr>
      <w:r>
        <w:t>14. Fakturering</w:t>
      </w:r>
    </w:p>
    <w:p>
      <w:r>
        <w:t>Leverandøren fakturerer kommunen samlet. Faktura skal sendes som EHF og inneholde kommunens bestillingsreferanse og avropsreferanse. Fakturagrunnlaget skal vise person, dato, antall timer, hovedområde, personellkategori og en kort angivelse av utført arbeid. Underleverandør fakturerer leverandøren, ikke Kvitsøy kommune. Dersom kontrakten er inngått etter felles tilbud, skjer fakturering gjennom den fakturerende enheten som er angitt i kontrakten.</w:t>
      </w:r>
    </w:p>
    <w:p>
      <w:pPr>
        <w:pStyle w:val="Heading1"/>
      </w:pPr>
      <w:r>
        <w:t>15. Personell og utskiftning</w:t>
      </w:r>
    </w:p>
    <w:p>
      <w:r>
        <w:t>Tilbudt avtaleansvarlig skal benyttes i avtaleperioden. Utskiftning kan bare skje når det foreligger saklig grunn. Erstatningen skal ha minst tilsvarende relevant kompetanse og erfaring og skal godkjennes av kommunen før utskiftningen, med mindre akutte forhold gjør dette umulig.</w:t>
      </w:r>
    </w:p>
    <w:p>
      <w:pPr>
        <w:pStyle w:val="Heading1"/>
      </w:pPr>
      <w:r>
        <w:t>16. Lønns og arbeidsvilkår</w:t>
      </w:r>
    </w:p>
    <w:p>
      <w:r>
        <w:t>Leverandøren og underleverandører skal sikre at ansatte og innleide som direkte medvirker til å oppfylle kontrakten minst har lønns og arbeidsvilkår som følger av anskaffelsesloven § 5e. Leverandøren skal på forespørsel dokumentere at kravet er oppfylt, også hos underleverandører.</w:t>
      </w:r>
    </w:p>
    <w:p>
      <w:r>
        <w:t>Kommunen kan gjennomføre nødvendig kontroll. Ved brudd skal leverandøren rette forholdet innen en frist satt av kommunen. Kommunen kan holde tilbake et forholdsmessig beløp til forholdet er dokumentert rettet. Vesentlige eller gjentatte brudd kan anses som vesentlig kontraktsbrudd.</w:t>
      </w:r>
    </w:p>
    <w:p>
      <w:pPr>
        <w:pStyle w:val="Heading1"/>
      </w:pPr>
      <w:r>
        <w:t>17. Taushetsplikt, personvern og informasjonssikkerhet</w:t>
      </w:r>
    </w:p>
    <w:p>
      <w:r>
        <w:t>Leverandøren skal bevare taushet om opplysninger som er underlagt lovbestemt taushetsplikt eller som etter sin art er konfidensielle. Plikten gjelder også etter kontraktens opphør. Dersom leverandøren behandler personopplysninger på vegne av kommunen, skal nødvendig databehandleravtale inngås før behandlingen starter.</w:t>
      </w:r>
    </w:p>
    <w:p>
      <w:pPr>
        <w:pStyle w:val="Heading1"/>
      </w:pPr>
      <w:r>
        <w:t>18. Mislighold</w:t>
      </w:r>
    </w:p>
    <w:p>
      <w:r>
        <w:t>Mislighold av det enkelte avrop håndteres etter det kontraktsgrunnlaget som gjelder for avropet. Gjentatte eller vesentlige brudd på rammeavtalens krav, herunder manglende tilgjengelighet, vesentlige prisavvik, manglende dokumentasjon eller alvorlige brudd hos underleverandører, kan gi grunnlag for skriftlig pålegg om retting og i alvorlige tilfeller oppsigelse eller heving etter alminnelige kontraktsrettslige regler.</w:t>
      </w:r>
    </w:p>
    <w:p>
      <w:pPr>
        <w:pStyle w:val="Heading1"/>
      </w:pPr>
      <w:r>
        <w:t>19. Tvister</w:t>
      </w:r>
    </w:p>
    <w:p>
      <w:r>
        <w:t>Partene skal forsøke å løse uenighet gjennom forhandlinger. Dersom dette ikke lykkes, avgjøres tvisten etter norsk rett med Sør-Rogaland tingrett som verneting, med mindre annet følger av ufravikelige regler.</w:t>
      </w:r>
    </w:p>
    <w:p>
      <w:pPr>
        <w:pStyle w:val="Heading1"/>
      </w:pPr>
      <w:r>
        <w:t>20. Signatur</w:t>
      </w:r>
    </w:p>
    <w:tbl>
      <w:tblPr>
        <w:tblStyle w:val="TableGrid"/>
        <w:tblW w:type="auto" w:w="0"/>
        <w:jc w:val="left"/>
        <w:tblLook w:firstColumn="1" w:firstRow="1" w:lastColumn="0" w:lastRow="0" w:noHBand="0" w:noVBand="1" w:val="04A0"/>
      </w:tblPr>
      <w:tblGrid>
        <w:gridCol w:w="4986"/>
        <w:gridCol w:w="4986"/>
      </w:tblGrid>
      <w:tr>
        <w:trPr>
          <w:tblHeader w:val="true"/>
          <w:cantSplit/>
        </w:trPr>
        <w:tc>
          <w:tcPr>
            <w:tcW w:type="dxa" w:w="4649"/>
            <w:shd w:fill="163A5F"/>
            <w:tcMar>
              <w:top w:w="90" w:type="dxa"/>
              <w:start w:w="90" w:type="dxa"/>
              <w:bottom w:w="90" w:type="dxa"/>
              <w:end w:w="90" w:type="dxa"/>
            </w:tcMar>
            <w:vAlign w:val="center"/>
          </w:tcPr>
          <w:p>
            <w:pPr>
              <w:spacing w:after="0"/>
            </w:pPr>
            <w:r>
              <w:rPr>
                <w:b/>
                <w:color w:val="FFFFFF"/>
                <w:sz w:val="18"/>
              </w:rPr>
              <w:t>For Kvitsøy kommune</w:t>
            </w:r>
          </w:p>
        </w:tc>
        <w:tc>
          <w:tcPr>
            <w:tcW w:type="dxa" w:w="4649"/>
            <w:shd w:fill="163A5F"/>
            <w:tcMar>
              <w:top w:w="90" w:type="dxa"/>
              <w:start w:w="90" w:type="dxa"/>
              <w:bottom w:w="90" w:type="dxa"/>
              <w:end w:w="90" w:type="dxa"/>
            </w:tcMar>
            <w:vAlign w:val="center"/>
          </w:tcPr>
          <w:p>
            <w:pPr>
              <w:spacing w:after="0"/>
            </w:pPr>
            <w:r>
              <w:rPr>
                <w:b/>
                <w:color w:val="FFFFFF"/>
                <w:sz w:val="18"/>
              </w:rPr>
              <w:t>For leverandøren</w:t>
            </w:r>
          </w:p>
        </w:tc>
      </w:tr>
      <w:tr>
        <w:trPr>
          <w:cantSplit/>
        </w:trPr>
        <w:tc>
          <w:tcPr>
            <w:tcW w:type="dxa" w:w="4649"/>
            <w:tcMar>
              <w:top w:w="90" w:type="dxa"/>
              <w:start w:w="90" w:type="dxa"/>
              <w:bottom w:w="90" w:type="dxa"/>
              <w:end w:w="90" w:type="dxa"/>
            </w:tcMar>
            <w:vAlign w:val="top"/>
          </w:tcPr>
          <w:p>
            <w:pPr>
              <w:spacing w:after="0"/>
            </w:pPr>
            <w:r>
              <w:rPr>
                <w:sz w:val="18"/>
              </w:rPr>
              <w:t>Navn: ______________________________</w:t>
              <w:br/>
              <w:t>Dato: ______________________________</w:t>
              <w:br/>
              <w:t>Signatur: ___________________________</w:t>
            </w:r>
          </w:p>
        </w:tc>
        <w:tc>
          <w:tcPr>
            <w:tcW w:type="dxa" w:w="4649"/>
            <w:tcMar>
              <w:top w:w="90" w:type="dxa"/>
              <w:start w:w="90" w:type="dxa"/>
              <w:bottom w:w="90" w:type="dxa"/>
              <w:end w:w="90" w:type="dxa"/>
            </w:tcMar>
            <w:vAlign w:val="top"/>
          </w:tcPr>
          <w:p>
            <w:pPr>
              <w:spacing w:after="0"/>
            </w:pPr>
            <w:r>
              <w:rPr>
                <w:sz w:val="18"/>
              </w:rPr>
              <w:t>Navn: ______________________________</w:t>
              <w:br/>
              <w:t>Dato: ______________________________</w:t>
              <w:br/>
              <w:t>Signatur: ___________________________</w:t>
            </w:r>
          </w:p>
        </w:tc>
      </w:tr>
    </w:tbl>
    <w:p>
      <w:pPr>
        <w:spacing w:after="0"/>
      </w:pPr>
    </w:p>
    <w:sectPr w:rsidR="00FC693F" w:rsidRPr="0006063C" w:rsidSect="00034616">
      <w:headerReference w:type="default" r:id="rId9"/>
      <w:footerReference w:type="default" r:id="rId10"/>
      <w:headerReference w:type="first" r:id="rId11"/>
      <w:footerReference w:type="first" r:id="rId12"/>
      <w:headerReference w:type="even" r:id="rId13"/>
      <w:footerReference w:type="even" r:id="rId14"/>
      <w:pgSz w:w="12240" w:h="15840"/>
      <w:pgMar w:top="1020" w:right="1134" w:bottom="964"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Small"/>
      <w:jc w:val="center"/>
    </w:pPr>
    <w:r>
      <w:t>Konkurransedokument  |  Utkast 14. september 2026</w:t>
    </w:r>
  </w:p>
</w:ftr>
</file>

<file path=word/footer2.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pPr>
  </w:p>
</w:ftr>
</file>

<file path=word/footer3.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pPr>
  </w:p>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Small"/>
      <w:jc w:val="right"/>
    </w:pPr>
    <w:r>
      <w:t>KVITSØY KOMMUNE  |  RAMMEAVTALE KONSULENTTJENESTER</w:t>
    </w:r>
  </w:p>
</w:hdr>
</file>

<file path=word/header2.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pPr>
  </w:p>
</w:hdr>
</file>

<file path=word/header3.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pP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100" w:line="259" w:lineRule="auto"/>
    </w:pPr>
    <w:rPr>
      <w:rFonts w:ascii="Arial" w:hAnsi="Arial"/>
      <w:color w:val="1F2937"/>
      <w:sz w:val="20"/>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200" w:after="100"/>
      <w:outlineLvl w:val="0"/>
    </w:pPr>
    <w:rPr>
      <w:rFonts w:asciiTheme="majorHAnsi" w:eastAsiaTheme="majorEastAsia" w:hAnsiTheme="majorHAnsi" w:cstheme="majorBidi" w:ascii="Arial" w:hAnsi="Arial"/>
      <w:b/>
      <w:bCs/>
      <w:color w:val="163A5F"/>
      <w:sz w:val="30"/>
      <w:szCs w:val="28"/>
    </w:rPr>
  </w:style>
  <w:style w:type="paragraph" w:styleId="Heading2">
    <w:name w:val="heading 2"/>
    <w:basedOn w:val="Normal"/>
    <w:next w:val="Normal"/>
    <w:link w:val="Heading2Char"/>
    <w:uiPriority w:val="9"/>
    <w:unhideWhenUsed/>
    <w:qFormat/>
    <w:rsid w:val="00FC693F"/>
    <w:pPr>
      <w:keepNext/>
      <w:keepLines/>
      <w:spacing w:before="200" w:after="100"/>
      <w:outlineLvl w:val="1"/>
    </w:pPr>
    <w:rPr>
      <w:rFonts w:asciiTheme="majorHAnsi" w:eastAsiaTheme="majorEastAsia" w:hAnsiTheme="majorHAnsi" w:cstheme="majorBidi" w:ascii="Arial" w:hAnsi="Arial"/>
      <w:b/>
      <w:bCs/>
      <w:color w:val="163A5F"/>
      <w:sz w:val="24"/>
      <w:szCs w:val="26"/>
    </w:rPr>
  </w:style>
  <w:style w:type="paragraph" w:styleId="Heading3">
    <w:name w:val="heading 3"/>
    <w:basedOn w:val="Normal"/>
    <w:next w:val="Normal"/>
    <w:link w:val="Heading3Char"/>
    <w:uiPriority w:val="9"/>
    <w:unhideWhenUsed/>
    <w:qFormat/>
    <w:rsid w:val="00FC693F"/>
    <w:pPr>
      <w:keepNext/>
      <w:keepLines/>
      <w:spacing w:before="200" w:after="100"/>
      <w:outlineLvl w:val="2"/>
    </w:pPr>
    <w:rPr>
      <w:rFonts w:asciiTheme="majorHAnsi" w:eastAsiaTheme="majorEastAsia" w:hAnsiTheme="majorHAnsi" w:cstheme="majorBidi" w:ascii="Arial" w:hAnsi="Arial"/>
      <w:b/>
      <w:bCs/>
      <w:color w:val="163A5F"/>
      <w:sz w:val="2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keepNext/>
      <w:pBdr>
        <w:bottom w:val="single" w:sz="8" w:space="4" w:color="4F81BD" w:themeColor="accent1"/>
      </w:pBdr>
      <w:spacing w:after="100" w:line="240" w:lineRule="auto" w:before="0"/>
      <w:contextualSpacing/>
    </w:pPr>
    <w:rPr>
      <w:rFonts w:asciiTheme="majorHAnsi" w:eastAsiaTheme="majorEastAsia" w:hAnsiTheme="majorHAnsi" w:cstheme="majorBidi" w:ascii="Arial" w:hAnsi="Arial"/>
      <w:b/>
      <w:color w:val="163A5F"/>
      <w:spacing w:val="5"/>
      <w:kern w:val="28"/>
      <w:sz w:val="44"/>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Small">
    <w:name w:val="Small"/>
    <w:pPr>
      <w:spacing w:after="60"/>
    </w:pPr>
    <w:rPr>
      <w:rFonts w:ascii="Arial" w:hAnsi="Arial"/>
      <w:color w:val="5B6573"/>
      <w:sz w:val="17"/>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eader" Target="header1.xml"/><Relationship Id="rId10" Type="http://schemas.openxmlformats.org/officeDocument/2006/relationships/footer" Target="footer1.xml"/><Relationship Id="rId11" Type="http://schemas.openxmlformats.org/officeDocument/2006/relationships/header" Target="header2.xml"/><Relationship Id="rId12" Type="http://schemas.openxmlformats.org/officeDocument/2006/relationships/footer" Target="footer2.xml"/><Relationship Id="rId13" Type="http://schemas.openxmlformats.org/officeDocument/2006/relationships/header" Target="header3.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